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85A7C"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noProof/>
          <w:color w:val="000000"/>
          <w:szCs w:val="19"/>
        </w:rPr>
        <w:drawing>
          <wp:inline distT="0" distB="0" distL="0" distR="0" wp14:anchorId="43A1C189" wp14:editId="2F8A7CBD">
            <wp:extent cx="5486400" cy="1136073"/>
            <wp:effectExtent l="0" t="0" r="0" b="6985"/>
            <wp:docPr id="6" name="Picture 6" descr="Martha HD:private:var:folders:5w:l69bgy8970n9dx8_q54955yh0000gq:T:TemporaryItems: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tha HD:private:var:folders:5w:l69bgy8970n9dx8_q54955yh0000gq:T:TemporaryItems:heade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1136073"/>
                    </a:xfrm>
                    <a:prstGeom prst="rect">
                      <a:avLst/>
                    </a:prstGeom>
                    <a:noFill/>
                    <a:ln>
                      <a:noFill/>
                    </a:ln>
                  </pic:spPr>
                </pic:pic>
              </a:graphicData>
            </a:graphic>
          </wp:inline>
        </w:drawing>
      </w:r>
    </w:p>
    <w:p w14:paraId="72340BC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sectPr w:rsidR="00DF140D" w:rsidSect="00DF140D">
          <w:headerReference w:type="even" r:id="rId6"/>
          <w:headerReference w:type="default" r:id="rId7"/>
          <w:footerReference w:type="even" r:id="rId8"/>
          <w:footerReference w:type="default" r:id="rId9"/>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space="720"/>
          <w:titlePg/>
        </w:sectPr>
      </w:pPr>
    </w:p>
    <w:p w14:paraId="51B3DA9B"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7BD650EF"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67EBDED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ED13F1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num="2" w:space="720"/>
        </w:sectPr>
      </w:pPr>
    </w:p>
    <w:p w14:paraId="1C6F2749"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space="720"/>
        </w:sectPr>
      </w:pPr>
    </w:p>
    <w:p w14:paraId="6F42D6A3"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7231111D"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5F6A86EF"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14C77357"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num="2" w:space="720"/>
        </w:sectPr>
      </w:pPr>
    </w:p>
    <w:p w14:paraId="42A09564"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inorHAnsi" w:hAnsiTheme="minorHAnsi"/>
          <w:b/>
          <w:bCs/>
          <w:i/>
          <w:color w:val="1F497D" w:themeColor="text2"/>
          <w:sz w:val="56"/>
          <w:szCs w:val="56"/>
        </w:rPr>
      </w:pPr>
    </w:p>
    <w:p w14:paraId="258FED6E" w14:textId="77777777" w:rsidR="00DF140D" w:rsidRPr="00FF5D0E"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40"/>
          <w:szCs w:val="40"/>
        </w:rPr>
      </w:pPr>
      <w:r>
        <w:rPr>
          <w:rFonts w:asciiTheme="minorHAnsi" w:hAnsiTheme="minorHAnsi"/>
          <w:b/>
          <w:bCs/>
          <w:i/>
          <w:color w:val="1F497D" w:themeColor="text2"/>
          <w:sz w:val="56"/>
          <w:szCs w:val="56"/>
        </w:rPr>
        <w:t>Women in Independent Film, 2016-17</w:t>
      </w:r>
    </w:p>
    <w:p w14:paraId="1D944F1C"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space="720"/>
        </w:sectPr>
      </w:pPr>
    </w:p>
    <w:p w14:paraId="5DAB96D9"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1AC6ED15"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5C8207D5"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037361FB"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7C82875D"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368FE8EE"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49E7CCE6"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5CAC769C" w14:textId="77777777" w:rsidR="00DF140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Book Antiqua" w:hAnsi="Book Antiqua"/>
          <w:b/>
          <w:bCs/>
          <w:i/>
          <w:color w:val="1F497D" w:themeColor="text2"/>
          <w:sz w:val="36"/>
          <w:szCs w:val="31"/>
        </w:rPr>
      </w:pPr>
    </w:p>
    <w:p w14:paraId="5F4F1D7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pPr>
    </w:p>
    <w:p w14:paraId="7929E2B9"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pPr>
    </w:p>
    <w:p w14:paraId="56EBCF8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pPr>
    </w:p>
    <w:p w14:paraId="2F84BB9E"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pPr>
    </w:p>
    <w:p w14:paraId="121E6CE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pPr>
    </w:p>
    <w:p w14:paraId="3443840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num="2" w:space="720"/>
        </w:sectPr>
      </w:pPr>
    </w:p>
    <w:p w14:paraId="1D2BB770" w14:textId="77777777" w:rsidR="00DF140D" w:rsidRPr="006B7922"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0"/>
          <w:szCs w:val="40"/>
        </w:rPr>
      </w:pPr>
      <w:r w:rsidRPr="006B7922">
        <w:rPr>
          <w:rFonts w:asciiTheme="majorHAnsi" w:hAnsiTheme="majorHAnsi"/>
          <w:b/>
          <w:color w:val="000000"/>
          <w:sz w:val="40"/>
          <w:szCs w:val="40"/>
        </w:rPr>
        <w:lastRenderedPageBreak/>
        <w:t>Center for the Study of Women in Television &amp; Film, San Diego State University</w:t>
      </w:r>
    </w:p>
    <w:p w14:paraId="3129097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i/>
          <w:color w:val="000000"/>
          <w:sz w:val="36"/>
          <w:szCs w:val="36"/>
        </w:rPr>
      </w:pPr>
    </w:p>
    <w:p w14:paraId="0E5C386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i/>
          <w:color w:val="000000"/>
          <w:sz w:val="36"/>
          <w:szCs w:val="36"/>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space="720"/>
        </w:sectPr>
      </w:pPr>
    </w:p>
    <w:p w14:paraId="02EB8C2D" w14:textId="77777777" w:rsidR="00DF140D" w:rsidRPr="006B7922"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i/>
          <w:color w:val="000000"/>
          <w:sz w:val="28"/>
          <w:szCs w:val="28"/>
        </w:rPr>
      </w:pPr>
      <w:r w:rsidRPr="006B7922">
        <w:rPr>
          <w:rFonts w:asciiTheme="majorHAnsi" w:hAnsiTheme="majorHAnsi"/>
          <w:i/>
          <w:color w:val="000000"/>
          <w:sz w:val="28"/>
          <w:szCs w:val="28"/>
        </w:rPr>
        <w:lastRenderedPageBreak/>
        <w:t xml:space="preserve">Dr. Martha M. </w:t>
      </w:r>
      <w:proofErr w:type="spellStart"/>
      <w:r w:rsidRPr="006B7922">
        <w:rPr>
          <w:rFonts w:asciiTheme="majorHAnsi" w:hAnsiTheme="majorHAnsi"/>
          <w:i/>
          <w:color w:val="000000"/>
          <w:sz w:val="28"/>
          <w:szCs w:val="28"/>
        </w:rPr>
        <w:t>Lauzen</w:t>
      </w:r>
      <w:proofErr w:type="spellEnd"/>
    </w:p>
    <w:p w14:paraId="216D50E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1F497D" w:themeColor="text2"/>
          <w:sz w:val="15"/>
          <w:szCs w:val="15"/>
        </w:rPr>
      </w:pPr>
    </w:p>
    <w:p w14:paraId="79C5440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1F497D" w:themeColor="text2"/>
          <w:sz w:val="15"/>
          <w:szCs w:val="15"/>
        </w:rPr>
      </w:pPr>
    </w:p>
    <w:p w14:paraId="1FCF7B10" w14:textId="77777777" w:rsidR="00DF140D" w:rsidRPr="006B7922"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1F497D" w:themeColor="text2"/>
        </w:rPr>
      </w:pPr>
      <w:r w:rsidRPr="006B7922">
        <w:rPr>
          <w:rFonts w:ascii="Times New Roman" w:hAnsi="Times New Roman"/>
          <w:color w:val="1F497D" w:themeColor="text2"/>
        </w:rPr>
        <w:t>May</w:t>
      </w:r>
      <w:r>
        <w:rPr>
          <w:rFonts w:ascii="Times New Roman" w:hAnsi="Times New Roman"/>
          <w:color w:val="1F497D" w:themeColor="text2"/>
        </w:rPr>
        <w:t xml:space="preserve"> 2017</w:t>
      </w:r>
    </w:p>
    <w:p w14:paraId="75B0E967"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1F497D" w:themeColor="text2"/>
          <w:sz w:val="28"/>
          <w:szCs w:val="28"/>
        </w:rPr>
      </w:pPr>
    </w:p>
    <w:p w14:paraId="1EF71765" w14:textId="77777777" w:rsidR="00DF140D" w:rsidRPr="00E33664"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i/>
          <w:color w:val="000000"/>
          <w:sz w:val="28"/>
          <w:szCs w:val="28"/>
        </w:rPr>
      </w:pPr>
    </w:p>
    <w:p w14:paraId="084944A7" w14:textId="77777777" w:rsidR="00DF140D" w:rsidRPr="00F77E6D" w:rsidRDefault="00DF140D" w:rsidP="00DF140D">
      <w:pPr>
        <w:widowControl w:val="0"/>
        <w:shd w:val="clear" w:color="auto" w:fill="FFFFFF"/>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Book Antiqua" w:hAnsi="Book Antiqua"/>
          <w:b/>
          <w:bCs/>
          <w:i/>
          <w:color w:val="1F497D" w:themeColor="text2"/>
          <w:sz w:val="32"/>
          <w:szCs w:val="32"/>
        </w:rPr>
      </w:pPr>
    </w:p>
    <w:p w14:paraId="7DDB6EA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ajorHAnsi" w:hAnsiTheme="majorHAnsi"/>
          <w:b/>
          <w:color w:val="000000"/>
          <w:sz w:val="48"/>
          <w:szCs w:val="48"/>
        </w:rPr>
      </w:pPr>
    </w:p>
    <w:p w14:paraId="6631723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11F73E3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551B5B9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15966B6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46A23DCE"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4FE008E7" w14:textId="77777777" w:rsidR="005C55A5" w:rsidRDefault="005C55A5"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39419ECF" w14:textId="77777777" w:rsidR="00DF140D" w:rsidRPr="00FF5D0E"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r>
        <w:rPr>
          <w:rFonts w:ascii="Times New Roman" w:hAnsi="Times New Roman"/>
          <w:b/>
          <w:i/>
          <w:color w:val="1F497D" w:themeColor="text2"/>
        </w:rPr>
        <w:lastRenderedPageBreak/>
        <w:t>Key Findings</w:t>
      </w:r>
    </w:p>
    <w:p w14:paraId="25764A6F"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color w:val="000000"/>
        </w:rPr>
      </w:pPr>
    </w:p>
    <w:p w14:paraId="4420F365" w14:textId="432689FA" w:rsidR="00F1166A" w:rsidRDefault="00F1166A"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b/>
          <w:color w:val="000000"/>
        </w:rPr>
        <w:t>•</w:t>
      </w:r>
      <w:r w:rsidRPr="00F73DF7">
        <w:rPr>
          <w:rFonts w:ascii="Times New Roman" w:hAnsi="Times New Roman"/>
          <w:b/>
          <w:i/>
          <w:color w:val="000000"/>
        </w:rPr>
        <w:t>High</w:t>
      </w:r>
      <w:r w:rsidR="00061DAD">
        <w:rPr>
          <w:rFonts w:ascii="Times New Roman" w:hAnsi="Times New Roman"/>
          <w:b/>
          <w:i/>
          <w:color w:val="000000"/>
        </w:rPr>
        <w:t>-</w:t>
      </w:r>
      <w:r w:rsidRPr="00F73DF7">
        <w:rPr>
          <w:rFonts w:ascii="Times New Roman" w:hAnsi="Times New Roman"/>
          <w:b/>
          <w:i/>
          <w:color w:val="000000"/>
        </w:rPr>
        <w:t xml:space="preserve">profile film festivals in the U.S. screened </w:t>
      </w:r>
      <w:r w:rsidR="00F73DF7" w:rsidRPr="00F73DF7">
        <w:rPr>
          <w:rFonts w:ascii="Times New Roman" w:hAnsi="Times New Roman"/>
          <w:b/>
          <w:i/>
          <w:color w:val="000000"/>
        </w:rPr>
        <w:t>three times as many narrative films directed by men as by women</w:t>
      </w:r>
      <w:r w:rsidR="00952140">
        <w:rPr>
          <w:rFonts w:ascii="Times New Roman" w:hAnsi="Times New Roman"/>
          <w:b/>
          <w:i/>
          <w:color w:val="000000"/>
        </w:rPr>
        <w:t xml:space="preserve"> in 2016-17</w:t>
      </w:r>
      <w:r w:rsidR="00F73DF7" w:rsidRPr="00F73DF7">
        <w:rPr>
          <w:rFonts w:ascii="Times New Roman" w:hAnsi="Times New Roman"/>
          <w:b/>
          <w:i/>
          <w:color w:val="000000"/>
        </w:rPr>
        <w:t xml:space="preserve">. </w:t>
      </w:r>
      <w:r w:rsidR="00F73DF7">
        <w:rPr>
          <w:rFonts w:ascii="Times New Roman" w:hAnsi="Times New Roman"/>
          <w:b/>
          <w:color w:val="000000"/>
        </w:rPr>
        <w:t xml:space="preserve"> </w:t>
      </w:r>
      <w:r w:rsidR="00F73DF7" w:rsidRPr="00F73DF7">
        <w:rPr>
          <w:rFonts w:ascii="Times New Roman" w:hAnsi="Times New Roman"/>
          <w:color w:val="000000"/>
        </w:rPr>
        <w:t>The 23 festivals considered in this study screened an average of 6 narrative films directed by at least one woman compared with an average of 18 features directed by men.</w:t>
      </w:r>
    </w:p>
    <w:p w14:paraId="3F26446E" w14:textId="77777777" w:rsidR="00F73DF7" w:rsidRDefault="00F73DF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3A1C0887" w14:textId="7CB61BC2" w:rsidR="00F73DF7" w:rsidRDefault="00F73DF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w:t>
      </w:r>
      <w:r w:rsidRPr="00F73DF7">
        <w:rPr>
          <w:rFonts w:ascii="Times New Roman" w:hAnsi="Times New Roman"/>
          <w:b/>
          <w:i/>
          <w:color w:val="000000"/>
        </w:rPr>
        <w:t xml:space="preserve">U.S. festivals screened almost twice as many documentaries directed </w:t>
      </w:r>
      <w:r>
        <w:rPr>
          <w:rFonts w:ascii="Times New Roman" w:hAnsi="Times New Roman"/>
          <w:b/>
          <w:i/>
          <w:color w:val="000000"/>
        </w:rPr>
        <w:t>b</w:t>
      </w:r>
      <w:r w:rsidRPr="00F73DF7">
        <w:rPr>
          <w:rFonts w:ascii="Times New Roman" w:hAnsi="Times New Roman"/>
          <w:b/>
          <w:i/>
          <w:color w:val="000000"/>
        </w:rPr>
        <w:t>y men as by wome</w:t>
      </w:r>
      <w:r w:rsidR="00952140">
        <w:rPr>
          <w:rFonts w:ascii="Times New Roman" w:hAnsi="Times New Roman"/>
          <w:b/>
          <w:i/>
          <w:color w:val="000000"/>
        </w:rPr>
        <w:t>n in 2016-17</w:t>
      </w:r>
      <w:r w:rsidRPr="00F73DF7">
        <w:rPr>
          <w:rFonts w:ascii="Times New Roman" w:hAnsi="Times New Roman"/>
          <w:b/>
          <w:i/>
          <w:color w:val="000000"/>
        </w:rPr>
        <w:t>.</w:t>
      </w:r>
      <w:r>
        <w:rPr>
          <w:rFonts w:ascii="Times New Roman" w:hAnsi="Times New Roman"/>
          <w:color w:val="000000"/>
        </w:rPr>
        <w:t xml:space="preserve">  The festivals in this study screened an average of 7 documentaries directed by </w:t>
      </w:r>
      <w:r w:rsidR="0009686E">
        <w:rPr>
          <w:rFonts w:ascii="Times New Roman" w:hAnsi="Times New Roman"/>
          <w:color w:val="000000"/>
        </w:rPr>
        <w:t>at least one woma</w:t>
      </w:r>
      <w:r>
        <w:rPr>
          <w:rFonts w:ascii="Times New Roman" w:hAnsi="Times New Roman"/>
          <w:color w:val="000000"/>
        </w:rPr>
        <w:t>n compared with an average of 13 directed by men.</w:t>
      </w:r>
    </w:p>
    <w:p w14:paraId="0E688C0C" w14:textId="77777777" w:rsidR="001C5DD0" w:rsidRDefault="001C5DD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5BD1589D" w14:textId="55805F6A" w:rsidR="001C5DD0" w:rsidRPr="00F73DF7" w:rsidRDefault="001C5DD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b/>
          <w:color w:val="000000"/>
        </w:rPr>
        <w:t>•</w:t>
      </w:r>
      <w:r w:rsidRPr="00DF140D">
        <w:rPr>
          <w:rFonts w:ascii="Times New Roman" w:hAnsi="Times New Roman"/>
          <w:b/>
          <w:i/>
          <w:color w:val="000000"/>
        </w:rPr>
        <w:t>Overall, in</w:t>
      </w:r>
      <w:r>
        <w:rPr>
          <w:rFonts w:ascii="Times New Roman" w:hAnsi="Times New Roman"/>
          <w:b/>
          <w:i/>
          <w:color w:val="000000"/>
        </w:rPr>
        <w:t>dependent</w:t>
      </w:r>
      <w:r w:rsidR="00061DAD">
        <w:rPr>
          <w:rFonts w:ascii="Times New Roman" w:hAnsi="Times New Roman"/>
          <w:b/>
          <w:i/>
          <w:color w:val="000000"/>
        </w:rPr>
        <w:t xml:space="preserve"> films screened at high-</w:t>
      </w:r>
      <w:r w:rsidRPr="00DF140D">
        <w:rPr>
          <w:rFonts w:ascii="Times New Roman" w:hAnsi="Times New Roman"/>
          <w:b/>
          <w:i/>
          <w:color w:val="000000"/>
        </w:rPr>
        <w:t>profile film festivals in the U.S. employed more than twice as many men as women in key behind-the-scenes roles</w:t>
      </w:r>
      <w:r>
        <w:rPr>
          <w:rFonts w:ascii="Times New Roman" w:hAnsi="Times New Roman"/>
          <w:b/>
          <w:i/>
          <w:color w:val="000000"/>
        </w:rPr>
        <w:t xml:space="preserve"> in 2016-17</w:t>
      </w:r>
      <w:r w:rsidRPr="00DF140D">
        <w:rPr>
          <w:rFonts w:ascii="Times New Roman" w:hAnsi="Times New Roman"/>
          <w:b/>
          <w:i/>
          <w:color w:val="000000"/>
        </w:rPr>
        <w:t>.</w:t>
      </w:r>
      <w:r>
        <w:rPr>
          <w:rFonts w:ascii="Times New Roman" w:hAnsi="Times New Roman"/>
          <w:b/>
          <w:color w:val="000000"/>
        </w:rPr>
        <w:t xml:space="preserve">  </w:t>
      </w:r>
      <w:r w:rsidRPr="00DF140D">
        <w:rPr>
          <w:rFonts w:ascii="Times New Roman" w:hAnsi="Times New Roman"/>
          <w:color w:val="000000"/>
        </w:rPr>
        <w:t xml:space="preserve">72% of those working in these roles </w:t>
      </w:r>
      <w:r>
        <w:rPr>
          <w:rFonts w:ascii="Times New Roman" w:hAnsi="Times New Roman"/>
          <w:color w:val="000000"/>
        </w:rPr>
        <w:t xml:space="preserve">were males and 28% were females.  This represents a recent historical high.  It is an increase of 3 percentage points from 25% in 2015-16, and an increase of 4 percentage points from 24% in 2008-09.   </w:t>
      </w:r>
    </w:p>
    <w:p w14:paraId="607FF157" w14:textId="77777777" w:rsidR="00F73DF7" w:rsidRDefault="00F73DF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color w:val="000000"/>
        </w:rPr>
      </w:pPr>
    </w:p>
    <w:p w14:paraId="275A8FB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sidRPr="00677907">
        <w:rPr>
          <w:rFonts w:ascii="Times New Roman" w:hAnsi="Times New Roman"/>
          <w:b/>
          <w:color w:val="000000"/>
        </w:rPr>
        <w:t>•</w:t>
      </w:r>
      <w:r>
        <w:rPr>
          <w:rFonts w:ascii="Times New Roman" w:hAnsi="Times New Roman"/>
          <w:b/>
          <w:i/>
          <w:color w:val="000000"/>
        </w:rPr>
        <w:t xml:space="preserve">Women’s representation as directors on independent films screening at the festivals considered increased slightly from 28% in 2015-16 to 29% in 2016-17.   </w:t>
      </w:r>
      <w:r>
        <w:rPr>
          <w:rFonts w:ascii="Times New Roman" w:hAnsi="Times New Roman"/>
          <w:color w:val="000000"/>
        </w:rPr>
        <w:t>This is an increase of 7 percentage points from 2008-09.</w:t>
      </w:r>
    </w:p>
    <w:p w14:paraId="3B190FFB" w14:textId="77777777" w:rsidR="0009686E" w:rsidRDefault="000968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58474128" w14:textId="7153EE6A" w:rsidR="00DF140D" w:rsidRDefault="000968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sidRPr="00677907">
        <w:rPr>
          <w:rFonts w:ascii="Times New Roman" w:hAnsi="Times New Roman"/>
          <w:b/>
          <w:color w:val="000000"/>
        </w:rPr>
        <w:t>•</w:t>
      </w:r>
      <w:r>
        <w:rPr>
          <w:rFonts w:ascii="Times New Roman" w:hAnsi="Times New Roman"/>
          <w:b/>
          <w:i/>
          <w:color w:val="000000"/>
        </w:rPr>
        <w:t>W</w:t>
      </w:r>
      <w:r w:rsidRPr="00677907">
        <w:rPr>
          <w:rFonts w:ascii="Times New Roman" w:hAnsi="Times New Roman"/>
          <w:b/>
          <w:i/>
          <w:color w:val="000000"/>
        </w:rPr>
        <w:t>omen continue to enjoy higher employment on documentaries than on narrative features</w:t>
      </w:r>
      <w:r w:rsidRPr="00677907">
        <w:rPr>
          <w:rFonts w:ascii="Times New Roman" w:hAnsi="Times New Roman"/>
          <w:b/>
          <w:color w:val="000000"/>
        </w:rPr>
        <w:t>.</w:t>
      </w:r>
      <w:r>
        <w:rPr>
          <w:rFonts w:ascii="Times New Roman" w:hAnsi="Times New Roman"/>
          <w:color w:val="000000"/>
        </w:rPr>
        <w:t xml:space="preserve">  Women accounted for 31% of individuals working on documentaries versus 26% of those working on narrative features.</w:t>
      </w:r>
    </w:p>
    <w:p w14:paraId="3BEE4BF9"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3FE565DA"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1ABE4E94"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color w:val="000000"/>
        </w:rPr>
      </w:pPr>
    </w:p>
    <w:p w14:paraId="11D940C3"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color w:val="000000"/>
        </w:rPr>
      </w:pPr>
    </w:p>
    <w:p w14:paraId="409B7CCA" w14:textId="0CA6D912"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sidRPr="00677907">
        <w:rPr>
          <w:rFonts w:ascii="Times New Roman" w:hAnsi="Times New Roman"/>
          <w:b/>
          <w:color w:val="000000"/>
        </w:rPr>
        <w:t>•</w:t>
      </w:r>
      <w:r w:rsidR="0009686E">
        <w:rPr>
          <w:rFonts w:ascii="Times New Roman" w:hAnsi="Times New Roman"/>
          <w:b/>
          <w:i/>
          <w:color w:val="000000"/>
        </w:rPr>
        <w:t>W</w:t>
      </w:r>
      <w:r w:rsidRPr="00677907">
        <w:rPr>
          <w:rFonts w:ascii="Times New Roman" w:hAnsi="Times New Roman"/>
          <w:b/>
          <w:i/>
          <w:color w:val="000000"/>
        </w:rPr>
        <w:t>omen are more likely to direct documentaries than narrative features</w:t>
      </w:r>
      <w:r w:rsidRPr="00677907">
        <w:rPr>
          <w:rFonts w:ascii="Times New Roman" w:hAnsi="Times New Roman"/>
          <w:b/>
          <w:color w:val="000000"/>
        </w:rPr>
        <w:t>.</w:t>
      </w:r>
      <w:r>
        <w:rPr>
          <w:rFonts w:ascii="Times New Roman" w:hAnsi="Times New Roman"/>
          <w:color w:val="000000"/>
        </w:rPr>
        <w:t xml:space="preserve">  Women accounted for 33% of directors on documentaries versus 25% of directors on narrative features.  </w:t>
      </w:r>
    </w:p>
    <w:p w14:paraId="3F0BA3C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3C9741B1" w14:textId="1172E0A9"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sidRPr="00677907">
        <w:rPr>
          <w:rFonts w:ascii="Times New Roman" w:hAnsi="Times New Roman"/>
          <w:b/>
          <w:color w:val="000000"/>
        </w:rPr>
        <w:t>•</w:t>
      </w:r>
      <w:r w:rsidRPr="00677907">
        <w:rPr>
          <w:rFonts w:ascii="Times New Roman" w:hAnsi="Times New Roman"/>
          <w:b/>
          <w:i/>
          <w:color w:val="000000"/>
        </w:rPr>
        <w:t xml:space="preserve">Films with at least </w:t>
      </w:r>
      <w:proofErr w:type="gramStart"/>
      <w:r w:rsidRPr="00677907">
        <w:rPr>
          <w:rFonts w:ascii="Times New Roman" w:hAnsi="Times New Roman"/>
          <w:b/>
          <w:i/>
          <w:color w:val="000000"/>
        </w:rPr>
        <w:t>one woman</w:t>
      </w:r>
      <w:proofErr w:type="gramEnd"/>
      <w:r w:rsidRPr="00677907">
        <w:rPr>
          <w:rFonts w:ascii="Times New Roman" w:hAnsi="Times New Roman"/>
          <w:b/>
          <w:i/>
          <w:color w:val="000000"/>
        </w:rPr>
        <w:t xml:space="preserve"> director also had </w:t>
      </w:r>
      <w:r>
        <w:rPr>
          <w:rFonts w:ascii="Times New Roman" w:hAnsi="Times New Roman"/>
          <w:b/>
          <w:i/>
          <w:color w:val="000000"/>
        </w:rPr>
        <w:t xml:space="preserve">substantially </w:t>
      </w:r>
      <w:r w:rsidRPr="00677907">
        <w:rPr>
          <w:rFonts w:ascii="Times New Roman" w:hAnsi="Times New Roman"/>
          <w:b/>
          <w:i/>
          <w:color w:val="000000"/>
        </w:rPr>
        <w:t>higher percentages of women writers, editors, and cinematographers.</w:t>
      </w:r>
      <w:r w:rsidR="00952140">
        <w:rPr>
          <w:rFonts w:ascii="Times New Roman" w:hAnsi="Times New Roman"/>
          <w:color w:val="000000"/>
        </w:rPr>
        <w:t xml:space="preserve"> O</w:t>
      </w:r>
      <w:r>
        <w:rPr>
          <w:rFonts w:ascii="Times New Roman" w:hAnsi="Times New Roman"/>
          <w:color w:val="000000"/>
        </w:rPr>
        <w:t>n films with at least one female director, women comprised 74% of writers vs. 7% on films</w:t>
      </w:r>
      <w:r w:rsidR="00952140">
        <w:rPr>
          <w:rFonts w:ascii="Times New Roman" w:hAnsi="Times New Roman"/>
          <w:color w:val="000000"/>
        </w:rPr>
        <w:t xml:space="preserve"> directed exclusively by men.  O</w:t>
      </w:r>
      <w:r>
        <w:rPr>
          <w:rFonts w:ascii="Times New Roman" w:hAnsi="Times New Roman"/>
          <w:color w:val="000000"/>
        </w:rPr>
        <w:t>n films with women directors, women accounted for 36% of editors compared with 17% on films</w:t>
      </w:r>
      <w:r w:rsidR="00952140">
        <w:rPr>
          <w:rFonts w:ascii="Times New Roman" w:hAnsi="Times New Roman"/>
          <w:color w:val="000000"/>
        </w:rPr>
        <w:t xml:space="preserve"> directed exclusively by men.  O</w:t>
      </w:r>
      <w:r>
        <w:rPr>
          <w:rFonts w:ascii="Times New Roman" w:hAnsi="Times New Roman"/>
          <w:color w:val="000000"/>
        </w:rPr>
        <w:t xml:space="preserve">n films with women directors, women comprised 23% of cinematographers versus 6% on films directed exclusively by men. </w:t>
      </w:r>
    </w:p>
    <w:p w14:paraId="11BFFDD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0D78FE97" w14:textId="77777777" w:rsidR="00DF140D" w:rsidRPr="00FF5D0E"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r w:rsidRPr="00FF5D0E">
        <w:rPr>
          <w:rFonts w:ascii="Times New Roman" w:hAnsi="Times New Roman"/>
          <w:b/>
          <w:i/>
          <w:color w:val="1F497D" w:themeColor="text2"/>
        </w:rPr>
        <w:t>Method</w:t>
      </w:r>
    </w:p>
    <w:p w14:paraId="75CB9B27"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1F0C1F2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 xml:space="preserve">This report provides employment figures for domestically and independently produced feature-length documentaries and narrative films screening from </w:t>
      </w:r>
      <w:r w:rsidR="00407607">
        <w:rPr>
          <w:rFonts w:ascii="Times New Roman" w:hAnsi="Times New Roman"/>
          <w:color w:val="000000"/>
        </w:rPr>
        <w:t>June</w:t>
      </w:r>
      <w:r>
        <w:rPr>
          <w:rFonts w:ascii="Times New Roman" w:hAnsi="Times New Roman"/>
          <w:color w:val="000000"/>
        </w:rPr>
        <w:t xml:space="preserve"> 2016 through </w:t>
      </w:r>
      <w:r w:rsidR="00407607">
        <w:rPr>
          <w:rFonts w:ascii="Times New Roman" w:hAnsi="Times New Roman"/>
          <w:color w:val="000000"/>
        </w:rPr>
        <w:t>May</w:t>
      </w:r>
      <w:r>
        <w:rPr>
          <w:rFonts w:ascii="Times New Roman" w:hAnsi="Times New Roman"/>
          <w:color w:val="000000"/>
        </w:rPr>
        <w:t xml:space="preserve"> 2017 at the following 23 festivals:  AFI Fest; Atlanta Film Festival; Austin Film Festival; Chicago International Film Festival; </w:t>
      </w:r>
      <w:proofErr w:type="spellStart"/>
      <w:r>
        <w:rPr>
          <w:rFonts w:ascii="Times New Roman" w:hAnsi="Times New Roman"/>
          <w:color w:val="000000"/>
        </w:rPr>
        <w:t>Cinequest</w:t>
      </w:r>
      <w:proofErr w:type="spellEnd"/>
      <w:r>
        <w:rPr>
          <w:rFonts w:ascii="Times New Roman" w:hAnsi="Times New Roman"/>
          <w:color w:val="000000"/>
        </w:rPr>
        <w:t xml:space="preserve"> Film Festival; Cleveland International Film Festival; Florida Film Festival; Hamptons International Film Festival; Los Angeles Film Festival; Nashville Film Festival; New Directors, New Films; New York Film Festival; Palm Springs International Film Festival; Rhode Island International Film Festival; St. Louis International Film Festival; San Francisco International Film Festival; Santa Barbara International Film Festival; Seattle International Film Festival; </w:t>
      </w:r>
      <w:proofErr w:type="spellStart"/>
      <w:r>
        <w:rPr>
          <w:rFonts w:ascii="Times New Roman" w:hAnsi="Times New Roman"/>
          <w:color w:val="000000"/>
        </w:rPr>
        <w:t>Slamdance</w:t>
      </w:r>
      <w:proofErr w:type="spellEnd"/>
      <w:r>
        <w:rPr>
          <w:rFonts w:ascii="Times New Roman" w:hAnsi="Times New Roman"/>
          <w:color w:val="000000"/>
        </w:rPr>
        <w:t xml:space="preserve"> Film Festival; Sundance Film Festival; SXSW Film Festival; Telluride Film Festival; Tribeca Film Festival.  </w:t>
      </w:r>
      <w:r>
        <w:rPr>
          <w:rFonts w:ascii="Times New Roman" w:hAnsi="Times New Roman"/>
          <w:i/>
          <w:color w:val="000000"/>
        </w:rPr>
        <w:t>Women in Independent Film</w:t>
      </w:r>
      <w:r>
        <w:rPr>
          <w:rFonts w:ascii="Times New Roman" w:hAnsi="Times New Roman"/>
          <w:color w:val="000000"/>
        </w:rPr>
        <w:t xml:space="preserve"> is the most comprehensive study of women’s behind-the-scenes employment on independent films available.</w:t>
      </w:r>
    </w:p>
    <w:p w14:paraId="2F13077C"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0812F95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 xml:space="preserve">The study tracks the sex of directors, writers, producers, executive producers, editors, and cinematographers working on every U.S. feature-length film screened at the festivals considered.  In total, </w:t>
      </w:r>
      <w:r>
        <w:rPr>
          <w:rFonts w:ascii="Times New Roman" w:hAnsi="Times New Roman"/>
          <w:i/>
          <w:color w:val="000000"/>
        </w:rPr>
        <w:t>Women in Independent Film</w:t>
      </w:r>
      <w:r>
        <w:rPr>
          <w:rFonts w:ascii="Times New Roman" w:hAnsi="Times New Roman"/>
          <w:color w:val="000000"/>
        </w:rPr>
        <w:t xml:space="preserve"> considers </w:t>
      </w:r>
      <w:r w:rsidR="00407607">
        <w:rPr>
          <w:rFonts w:ascii="Times New Roman" w:hAnsi="Times New Roman"/>
          <w:color w:val="000000"/>
        </w:rPr>
        <w:t>10,943</w:t>
      </w:r>
      <w:r>
        <w:rPr>
          <w:rFonts w:ascii="Times New Roman" w:hAnsi="Times New Roman"/>
          <w:color w:val="000000"/>
        </w:rPr>
        <w:t xml:space="preserve"> credits on 1,</w:t>
      </w:r>
      <w:r w:rsidR="00407607">
        <w:rPr>
          <w:rFonts w:ascii="Times New Roman" w:hAnsi="Times New Roman"/>
          <w:color w:val="000000"/>
        </w:rPr>
        <w:t>472 films in 2016-17, and over 59,000 credits on more than 6</w:t>
      </w:r>
      <w:r>
        <w:rPr>
          <w:rFonts w:ascii="Times New Roman" w:hAnsi="Times New Roman"/>
          <w:color w:val="000000"/>
        </w:rPr>
        <w:t>,000 films</w:t>
      </w:r>
      <w:r w:rsidR="00407607">
        <w:rPr>
          <w:rFonts w:ascii="Times New Roman" w:hAnsi="Times New Roman"/>
          <w:color w:val="000000"/>
        </w:rPr>
        <w:t xml:space="preserve"> over the period of 2008 to 2017</w:t>
      </w:r>
      <w:r>
        <w:rPr>
          <w:rFonts w:ascii="Times New Roman" w:hAnsi="Times New Roman"/>
          <w:color w:val="000000"/>
        </w:rPr>
        <w:t xml:space="preserve">.  </w:t>
      </w:r>
    </w:p>
    <w:p w14:paraId="5AF52C0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0AA771E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The findings of the study are divided into four major sections.  The first section reports the overall figures for women working on documentaries and narrative features.  The second section provides the numbers for women working on documentaries only, and the third section reports the figures for women working on narrative features only.  The fourth section discusses important relationships between women directors and the gender of those working in other key behind-the-scenes roles.</w:t>
      </w:r>
    </w:p>
    <w:p w14:paraId="54C8439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21D6C271" w14:textId="60C25BA2"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This report provides comparisons of the data gathe</w:t>
      </w:r>
      <w:r w:rsidR="00407607">
        <w:rPr>
          <w:rFonts w:ascii="Times New Roman" w:hAnsi="Times New Roman"/>
          <w:color w:val="000000"/>
        </w:rPr>
        <w:t>red for the present study (2016-17</w:t>
      </w:r>
      <w:r>
        <w:rPr>
          <w:rFonts w:ascii="Times New Roman" w:hAnsi="Times New Roman"/>
          <w:color w:val="000000"/>
        </w:rPr>
        <w:t xml:space="preserve">) with data collected from </w:t>
      </w:r>
      <w:r w:rsidR="00407607">
        <w:rPr>
          <w:rFonts w:ascii="Times New Roman" w:hAnsi="Times New Roman"/>
          <w:color w:val="000000"/>
        </w:rPr>
        <w:t xml:space="preserve">2015-16, </w:t>
      </w:r>
      <w:r>
        <w:rPr>
          <w:rFonts w:ascii="Times New Roman" w:hAnsi="Times New Roman"/>
          <w:color w:val="000000"/>
        </w:rPr>
        <w:t>2014-15, 2013-2014, 2011-2012</w:t>
      </w:r>
      <w:r w:rsidR="005C55A5">
        <w:rPr>
          <w:rFonts w:ascii="Times New Roman" w:hAnsi="Times New Roman"/>
          <w:color w:val="000000"/>
        </w:rPr>
        <w:t>,</w:t>
      </w:r>
      <w:r>
        <w:rPr>
          <w:rFonts w:ascii="Times New Roman" w:hAnsi="Times New Roman"/>
          <w:color w:val="000000"/>
        </w:rPr>
        <w:t xml:space="preserve"> and 2008-2009.  </w:t>
      </w:r>
    </w:p>
    <w:p w14:paraId="46EE2BD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 w:val="20"/>
        </w:rPr>
      </w:pPr>
    </w:p>
    <w:p w14:paraId="3A139E5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 w:val="20"/>
        </w:rPr>
      </w:pPr>
    </w:p>
    <w:p w14:paraId="1DADFF9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 w:val="20"/>
        </w:rPr>
      </w:pPr>
    </w:p>
    <w:p w14:paraId="37322B9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 w:val="20"/>
        </w:rPr>
      </w:pPr>
    </w:p>
    <w:p w14:paraId="1ABF893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 w:val="20"/>
        </w:rPr>
      </w:pPr>
    </w:p>
    <w:p w14:paraId="40FED2E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0AEDA0F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5943F9CB"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1FD2BC1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2865B9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2774107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2AA854A9"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16C4B06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12B07DE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17DA743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32A81F8B"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6CEE39F"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9FF399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4F50D57B"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B1AAD1E"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970452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3196FFC"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1EA04C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9C5B47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0A8E3D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4A3A7CB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40CE38E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42694B3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5C771BE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0772D9C"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571DA3B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271DBE5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3B1B6E1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265C20F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3769295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58642D1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16220167"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319C9B8B"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007F62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2C7AAA5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8E53DE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0D844AD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2736F87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02E78E9C"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085696D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CE4A6D7"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AE191E9"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AA7867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37DE4F9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69FE47D" w14:textId="77777777" w:rsidR="00407607" w:rsidRDefault="0040760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1F0D75B1" w14:textId="77777777" w:rsidR="00407607" w:rsidRDefault="0040760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268B874" w14:textId="77777777" w:rsidR="00407607" w:rsidRDefault="0040760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667919F9" w14:textId="77777777" w:rsidR="00407607" w:rsidRDefault="0040760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4EE64B82" w14:textId="77777777" w:rsidR="00407607" w:rsidRDefault="0040760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7F217481"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446F4FD8"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r w:rsidRPr="00FF5D0E">
        <w:rPr>
          <w:rFonts w:ascii="Times New Roman" w:hAnsi="Times New Roman"/>
          <w:b/>
          <w:i/>
          <w:color w:val="1F497D" w:themeColor="text2"/>
        </w:rPr>
        <w:t>Overall Findings for Documentaries and Narrative Features Screening at Festivals</w:t>
      </w:r>
    </w:p>
    <w:p w14:paraId="7D56ED1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rPr>
      </w:pPr>
    </w:p>
    <w:p w14:paraId="0AD3044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•The festivals considered in thi</w:t>
      </w:r>
      <w:r w:rsidR="00F73DF7">
        <w:rPr>
          <w:rFonts w:ascii="Times New Roman" w:hAnsi="Times New Roman"/>
          <w:color w:val="000000"/>
        </w:rPr>
        <w:t>s study screened an average of 6</w:t>
      </w:r>
      <w:r>
        <w:rPr>
          <w:rFonts w:ascii="Times New Roman" w:hAnsi="Times New Roman"/>
          <w:color w:val="000000"/>
        </w:rPr>
        <w:t xml:space="preserve"> narrative features directed by at least one woman versus an average of 18 narrative features directed exclusively by men (see Figure 1).  </w:t>
      </w:r>
    </w:p>
    <w:p w14:paraId="5C578E6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25FFD0C1" w14:textId="1B424E44"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•The fe</w:t>
      </w:r>
      <w:r w:rsidR="00F73DF7">
        <w:rPr>
          <w:rFonts w:ascii="Times New Roman" w:hAnsi="Times New Roman"/>
          <w:color w:val="000000"/>
        </w:rPr>
        <w:t>stivals screened an average of 7</w:t>
      </w:r>
      <w:r>
        <w:rPr>
          <w:rFonts w:ascii="Times New Roman" w:hAnsi="Times New Roman"/>
          <w:color w:val="000000"/>
        </w:rPr>
        <w:t xml:space="preserve"> documentaries directed by at least one woma</w:t>
      </w:r>
      <w:r w:rsidR="00F73DF7">
        <w:rPr>
          <w:rFonts w:ascii="Times New Roman" w:hAnsi="Times New Roman"/>
          <w:color w:val="000000"/>
        </w:rPr>
        <w:t>n compared with an average of 13</w:t>
      </w:r>
      <w:r>
        <w:rPr>
          <w:rFonts w:ascii="Times New Roman" w:hAnsi="Times New Roman"/>
          <w:color w:val="000000"/>
        </w:rPr>
        <w:t xml:space="preserve"> </w:t>
      </w:r>
      <w:r w:rsidR="005C55A5">
        <w:rPr>
          <w:rFonts w:ascii="Times New Roman" w:hAnsi="Times New Roman"/>
          <w:color w:val="000000"/>
        </w:rPr>
        <w:t xml:space="preserve">documentaries </w:t>
      </w:r>
      <w:r>
        <w:rPr>
          <w:rFonts w:ascii="Times New Roman" w:hAnsi="Times New Roman"/>
          <w:color w:val="000000"/>
        </w:rPr>
        <w:t>directed exclusively by men.</w:t>
      </w:r>
    </w:p>
    <w:p w14:paraId="61F837D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color w:val="1F497D" w:themeColor="text2"/>
        </w:rPr>
      </w:pPr>
    </w:p>
    <w:p w14:paraId="0A82B74E" w14:textId="77777777" w:rsidR="00DF140D" w:rsidRPr="00241A8C"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rPr>
      </w:pPr>
      <w:r w:rsidRPr="00241A8C">
        <w:rPr>
          <w:rFonts w:ascii="Times New Roman" w:hAnsi="Times New Roman"/>
          <w:i/>
        </w:rPr>
        <w:t>Figure 1.</w:t>
      </w:r>
    </w:p>
    <w:p w14:paraId="53BEE568"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rPr>
      </w:pPr>
      <w:r w:rsidRPr="00241A8C">
        <w:rPr>
          <w:rFonts w:ascii="Times New Roman" w:hAnsi="Times New Roman"/>
          <w:i/>
        </w:rPr>
        <w:t xml:space="preserve">Average No. </w:t>
      </w:r>
      <w:proofErr w:type="gramStart"/>
      <w:r>
        <w:rPr>
          <w:rFonts w:ascii="Times New Roman" w:hAnsi="Times New Roman"/>
          <w:i/>
        </w:rPr>
        <w:t>of</w:t>
      </w:r>
      <w:proofErr w:type="gramEnd"/>
      <w:r>
        <w:rPr>
          <w:rFonts w:ascii="Times New Roman" w:hAnsi="Times New Roman"/>
          <w:i/>
        </w:rPr>
        <w:t xml:space="preserve"> Films</w:t>
      </w:r>
      <w:r w:rsidRPr="00241A8C">
        <w:rPr>
          <w:rFonts w:ascii="Times New Roman" w:hAnsi="Times New Roman"/>
          <w:i/>
        </w:rPr>
        <w:t xml:space="preserve"> </w:t>
      </w:r>
      <w:r>
        <w:rPr>
          <w:rFonts w:ascii="Times New Roman" w:hAnsi="Times New Roman"/>
          <w:i/>
        </w:rPr>
        <w:t>Directed by At Least One Woman</w:t>
      </w:r>
      <w:r w:rsidRPr="00241A8C">
        <w:rPr>
          <w:rFonts w:ascii="Times New Roman" w:hAnsi="Times New Roman"/>
          <w:i/>
        </w:rPr>
        <w:t xml:space="preserve"> vs. Average No. </w:t>
      </w:r>
      <w:proofErr w:type="gramStart"/>
      <w:r w:rsidRPr="00241A8C">
        <w:rPr>
          <w:rFonts w:ascii="Times New Roman" w:hAnsi="Times New Roman"/>
          <w:i/>
        </w:rPr>
        <w:t>of</w:t>
      </w:r>
      <w:proofErr w:type="gramEnd"/>
      <w:r w:rsidRPr="00241A8C">
        <w:rPr>
          <w:rFonts w:ascii="Times New Roman" w:hAnsi="Times New Roman"/>
          <w:i/>
        </w:rPr>
        <w:t xml:space="preserve"> Films Directed</w:t>
      </w:r>
      <w:r>
        <w:rPr>
          <w:rFonts w:ascii="Times New Roman" w:hAnsi="Times New Roman"/>
          <w:i/>
        </w:rPr>
        <w:t xml:space="preserve"> Exclusively</w:t>
      </w:r>
      <w:r w:rsidRPr="00241A8C">
        <w:rPr>
          <w:rFonts w:ascii="Times New Roman" w:hAnsi="Times New Roman"/>
          <w:i/>
        </w:rPr>
        <w:t xml:space="preserve"> by Men Screened at Festivals</w:t>
      </w:r>
    </w:p>
    <w:p w14:paraId="5D7397D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rPr>
      </w:pPr>
    </w:p>
    <w:p w14:paraId="36957491" w14:textId="77777777" w:rsidR="00DF140D" w:rsidRDefault="00F73DF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rPr>
      </w:pPr>
      <w:r>
        <w:rPr>
          <w:noProof/>
        </w:rPr>
        <w:drawing>
          <wp:inline distT="0" distB="0" distL="0" distR="0" wp14:anchorId="6EE01B93" wp14:editId="1F811408">
            <wp:extent cx="2514600" cy="2066978"/>
            <wp:effectExtent l="0" t="0" r="25400" b="1587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EA5A782" w14:textId="77777777" w:rsidR="00DF140D" w:rsidRDefault="00F73DF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noProof/>
        </w:rPr>
        <w:drawing>
          <wp:inline distT="0" distB="0" distL="0" distR="0" wp14:anchorId="4EEBBF94" wp14:editId="35EA4A01">
            <wp:extent cx="2514600" cy="1897592"/>
            <wp:effectExtent l="0" t="0" r="25400" b="3302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FB1D827"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417F7326"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51713D10"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47D67D05" w14:textId="77777777" w:rsidR="00196046" w:rsidRDefault="0019604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00407ADD" w14:textId="77777777" w:rsidR="00952140" w:rsidRDefault="00952140"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24BE15B4" w14:textId="019F482A" w:rsidR="00DF140D" w:rsidRDefault="00F73DF7"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•Women accounted for 28</w:t>
      </w:r>
      <w:r w:rsidR="00DF140D">
        <w:rPr>
          <w:rFonts w:ascii="Times New Roman" w:hAnsi="Times New Roman"/>
          <w:color w:val="000000"/>
        </w:rPr>
        <w:t>% of director</w:t>
      </w:r>
      <w:r w:rsidR="00061DAD">
        <w:rPr>
          <w:rFonts w:ascii="Times New Roman" w:hAnsi="Times New Roman"/>
          <w:color w:val="000000"/>
        </w:rPr>
        <w:t xml:space="preserve">s, writers, executive </w:t>
      </w:r>
      <w:proofErr w:type="gramStart"/>
      <w:r w:rsidR="00061DAD">
        <w:rPr>
          <w:rFonts w:ascii="Times New Roman" w:hAnsi="Times New Roman"/>
          <w:color w:val="000000"/>
        </w:rPr>
        <w:t>producers,</w:t>
      </w:r>
      <w:proofErr w:type="gramEnd"/>
      <w:r w:rsidR="00DF140D">
        <w:rPr>
          <w:rFonts w:ascii="Times New Roman" w:hAnsi="Times New Roman"/>
          <w:color w:val="000000"/>
        </w:rPr>
        <w:t xml:space="preserve"> producers, editors, and cinematographers working on domestically and independently produced feature-length films (documentaries and narrative features).  This represents a</w:t>
      </w:r>
      <w:r>
        <w:rPr>
          <w:rFonts w:ascii="Times New Roman" w:hAnsi="Times New Roman"/>
          <w:color w:val="000000"/>
        </w:rPr>
        <w:t xml:space="preserve">n increase of </w:t>
      </w:r>
      <w:r w:rsidR="005C55A5">
        <w:rPr>
          <w:rFonts w:ascii="Times New Roman" w:hAnsi="Times New Roman"/>
          <w:color w:val="000000"/>
        </w:rPr>
        <w:t xml:space="preserve">3 </w:t>
      </w:r>
      <w:r w:rsidR="00DF140D">
        <w:rPr>
          <w:rFonts w:ascii="Times New Roman" w:hAnsi="Times New Roman"/>
          <w:color w:val="000000"/>
        </w:rPr>
        <w:t>percentage point</w:t>
      </w:r>
      <w:r>
        <w:rPr>
          <w:rFonts w:ascii="Times New Roman" w:hAnsi="Times New Roman"/>
          <w:color w:val="000000"/>
        </w:rPr>
        <w:t>s from 2015-16</w:t>
      </w:r>
      <w:r w:rsidR="00DF140D">
        <w:rPr>
          <w:rFonts w:ascii="Times New Roman" w:hAnsi="Times New Roman"/>
          <w:color w:val="000000"/>
        </w:rPr>
        <w:t xml:space="preserve">, and an </w:t>
      </w:r>
      <w:bookmarkStart w:id="0" w:name="_GoBack"/>
      <w:bookmarkEnd w:id="0"/>
      <w:r w:rsidR="00DF140D">
        <w:rPr>
          <w:rFonts w:ascii="Times New Roman" w:hAnsi="Times New Roman"/>
          <w:color w:val="000000"/>
        </w:rPr>
        <w:t xml:space="preserve">increase of </w:t>
      </w:r>
      <w:r w:rsidR="005C55A5">
        <w:rPr>
          <w:rFonts w:ascii="Times New Roman" w:hAnsi="Times New Roman"/>
          <w:color w:val="000000"/>
        </w:rPr>
        <w:t>4</w:t>
      </w:r>
      <w:r w:rsidR="00DF140D">
        <w:rPr>
          <w:rFonts w:ascii="Times New Roman" w:hAnsi="Times New Roman"/>
          <w:color w:val="000000"/>
        </w:rPr>
        <w:t xml:space="preserve"> percentage point</w:t>
      </w:r>
      <w:r>
        <w:rPr>
          <w:rFonts w:ascii="Times New Roman" w:hAnsi="Times New Roman"/>
          <w:color w:val="000000"/>
        </w:rPr>
        <w:t>s</w:t>
      </w:r>
      <w:r w:rsidR="00DF140D">
        <w:rPr>
          <w:rFonts w:ascii="Times New Roman" w:hAnsi="Times New Roman"/>
          <w:color w:val="000000"/>
        </w:rPr>
        <w:t xml:space="preserve"> from 2008-09.  </w:t>
      </w:r>
      <w:r w:rsidR="0065656E">
        <w:rPr>
          <w:rFonts w:ascii="Times New Roman" w:hAnsi="Times New Roman"/>
          <w:color w:val="000000"/>
        </w:rPr>
        <w:t>This number represents a recent historical high</w:t>
      </w:r>
      <w:r w:rsidR="00DF140D">
        <w:rPr>
          <w:rFonts w:ascii="Times New Roman" w:hAnsi="Times New Roman"/>
          <w:color w:val="000000"/>
        </w:rPr>
        <w:t xml:space="preserve"> (see Figure 2).</w:t>
      </w:r>
      <w:r w:rsidR="00FC0628">
        <w:rPr>
          <w:rFonts w:ascii="Times New Roman" w:hAnsi="Times New Roman"/>
          <w:color w:val="000000"/>
        </w:rPr>
        <w:t xml:space="preserve">  </w:t>
      </w:r>
    </w:p>
    <w:p w14:paraId="2B53637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391AEA13" w14:textId="77777777" w:rsidR="00DF140D" w:rsidRPr="000638E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Figure 2</w:t>
      </w:r>
      <w:r w:rsidRPr="000638ED">
        <w:rPr>
          <w:rFonts w:ascii="Times New Roman" w:hAnsi="Times New Roman"/>
          <w:i/>
          <w:color w:val="000000"/>
        </w:rPr>
        <w:t>.</w:t>
      </w:r>
    </w:p>
    <w:p w14:paraId="5892B6B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sidRPr="000638ED">
        <w:rPr>
          <w:rFonts w:ascii="Times New Roman" w:hAnsi="Times New Roman"/>
          <w:i/>
          <w:color w:val="000000"/>
        </w:rPr>
        <w:t xml:space="preserve">Historical Comparison of Percentages of </w:t>
      </w:r>
      <w:r>
        <w:rPr>
          <w:rFonts w:ascii="Times New Roman" w:hAnsi="Times New Roman"/>
          <w:i/>
          <w:color w:val="000000"/>
        </w:rPr>
        <w:t xml:space="preserve">Behind-the-Scenes Women Working </w:t>
      </w:r>
      <w:r w:rsidRPr="000638ED">
        <w:rPr>
          <w:rFonts w:ascii="Times New Roman" w:hAnsi="Times New Roman"/>
          <w:i/>
          <w:color w:val="000000"/>
        </w:rPr>
        <w:t>on Independent Features</w:t>
      </w:r>
    </w:p>
    <w:p w14:paraId="0F776B5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color w:val="000000"/>
        </w:rPr>
      </w:pPr>
    </w:p>
    <w:p w14:paraId="0B755C37" w14:textId="0A86F745" w:rsidR="00DF140D" w:rsidRDefault="006565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noProof/>
        </w:rPr>
        <w:drawing>
          <wp:inline distT="0" distB="0" distL="0" distR="0" wp14:anchorId="2D9932C4" wp14:editId="5C3A68E2">
            <wp:extent cx="2743200" cy="4495800"/>
            <wp:effectExtent l="0" t="0" r="25400" b="254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DF140D">
        <w:rPr>
          <w:rFonts w:ascii="Times New Roman" w:hAnsi="Times New Roman"/>
          <w:color w:val="000000"/>
        </w:rPr>
        <w:t>•On all of the films considered, w</w:t>
      </w:r>
      <w:r>
        <w:rPr>
          <w:rFonts w:ascii="Times New Roman" w:hAnsi="Times New Roman"/>
          <w:color w:val="000000"/>
        </w:rPr>
        <w:t>omen fared best as producers (32%), followed by directors (29</w:t>
      </w:r>
      <w:r w:rsidR="00DF140D">
        <w:rPr>
          <w:rFonts w:ascii="Times New Roman" w:hAnsi="Times New Roman"/>
          <w:color w:val="000000"/>
        </w:rPr>
        <w:t xml:space="preserve">%), </w:t>
      </w:r>
      <w:r>
        <w:rPr>
          <w:rFonts w:ascii="Times New Roman" w:hAnsi="Times New Roman"/>
          <w:color w:val="000000"/>
        </w:rPr>
        <w:t>executive producers (29%), writers (26%), editors (22</w:t>
      </w:r>
      <w:r w:rsidR="00DF140D">
        <w:rPr>
          <w:rFonts w:ascii="Times New Roman" w:hAnsi="Times New Roman"/>
          <w:color w:val="000000"/>
        </w:rPr>
        <w:t>%), and cinematographers (11%) (</w:t>
      </w:r>
      <w:proofErr w:type="gramStart"/>
      <w:r w:rsidR="00DF140D">
        <w:rPr>
          <w:rFonts w:ascii="Times New Roman" w:hAnsi="Times New Roman"/>
          <w:color w:val="000000"/>
        </w:rPr>
        <w:t>see</w:t>
      </w:r>
      <w:proofErr w:type="gramEnd"/>
      <w:r w:rsidR="00DF140D">
        <w:rPr>
          <w:rFonts w:ascii="Times New Roman" w:hAnsi="Times New Roman"/>
          <w:color w:val="000000"/>
        </w:rPr>
        <w:t xml:space="preserve"> Figure 3).</w:t>
      </w:r>
    </w:p>
    <w:p w14:paraId="305F6699"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56EFD366" w14:textId="18139F7F" w:rsidR="00DF140D" w:rsidRDefault="006565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•In 2016-17, women comprised 29</w:t>
      </w:r>
      <w:r w:rsidR="00DF140D">
        <w:rPr>
          <w:rFonts w:ascii="Times New Roman" w:hAnsi="Times New Roman"/>
          <w:color w:val="000000"/>
        </w:rPr>
        <w:t xml:space="preserve">% of </w:t>
      </w:r>
      <w:r w:rsidR="00DF140D" w:rsidRPr="00C900D0">
        <w:rPr>
          <w:rFonts w:ascii="Times New Roman" w:hAnsi="Times New Roman"/>
          <w:color w:val="000000"/>
        </w:rPr>
        <w:t xml:space="preserve">directors </w:t>
      </w:r>
      <w:r w:rsidR="00DF140D">
        <w:rPr>
          <w:rFonts w:ascii="Times New Roman" w:hAnsi="Times New Roman"/>
          <w:color w:val="000000"/>
        </w:rPr>
        <w:t>working on the films considered.  T</w:t>
      </w:r>
      <w:r>
        <w:rPr>
          <w:rFonts w:ascii="Times New Roman" w:hAnsi="Times New Roman"/>
          <w:color w:val="000000"/>
        </w:rPr>
        <w:t>his represents an increase of 1 percentage point from 28% in 2015</w:t>
      </w:r>
      <w:r w:rsidR="005C55A5">
        <w:rPr>
          <w:rFonts w:ascii="Times New Roman" w:hAnsi="Times New Roman"/>
          <w:color w:val="000000"/>
        </w:rPr>
        <w:t>-16</w:t>
      </w:r>
      <w:r>
        <w:rPr>
          <w:rFonts w:ascii="Times New Roman" w:hAnsi="Times New Roman"/>
          <w:color w:val="000000"/>
        </w:rPr>
        <w:t>, and an increase of 7</w:t>
      </w:r>
      <w:r w:rsidR="00DF140D">
        <w:rPr>
          <w:rFonts w:ascii="Times New Roman" w:hAnsi="Times New Roman"/>
          <w:color w:val="000000"/>
        </w:rPr>
        <w:t xml:space="preserve"> percentage points from 22% in 2008-09. </w:t>
      </w:r>
    </w:p>
    <w:p w14:paraId="498DC56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5EDAAF9F" w14:textId="43DA9863" w:rsidR="00DF140D" w:rsidRDefault="006565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•Women accounted for 26</w:t>
      </w:r>
      <w:r w:rsidR="00DF140D">
        <w:rPr>
          <w:rFonts w:ascii="Times New Roman" w:hAnsi="Times New Roman"/>
          <w:color w:val="000000"/>
        </w:rPr>
        <w:t>% of writers</w:t>
      </w:r>
      <w:r>
        <w:rPr>
          <w:rFonts w:ascii="Times New Roman" w:hAnsi="Times New Roman"/>
          <w:color w:val="000000"/>
        </w:rPr>
        <w:t xml:space="preserve"> on the films considered in 2016-17</w:t>
      </w:r>
      <w:r w:rsidR="00DF140D">
        <w:rPr>
          <w:rFonts w:ascii="Times New Roman" w:hAnsi="Times New Roman"/>
          <w:color w:val="000000"/>
        </w:rPr>
        <w:t xml:space="preserve">.  This </w:t>
      </w:r>
      <w:r>
        <w:rPr>
          <w:rFonts w:ascii="Times New Roman" w:hAnsi="Times New Roman"/>
          <w:color w:val="000000"/>
        </w:rPr>
        <w:t>represents an increase of 3 percentage points</w:t>
      </w:r>
      <w:r w:rsidR="00DF140D">
        <w:rPr>
          <w:rFonts w:ascii="Times New Roman" w:hAnsi="Times New Roman"/>
          <w:color w:val="000000"/>
        </w:rPr>
        <w:t xml:space="preserve"> </w:t>
      </w:r>
      <w:r>
        <w:rPr>
          <w:rFonts w:ascii="Times New Roman" w:hAnsi="Times New Roman"/>
          <w:color w:val="000000"/>
        </w:rPr>
        <w:t>from 2015-16</w:t>
      </w:r>
      <w:r w:rsidR="00DF140D">
        <w:rPr>
          <w:rFonts w:ascii="Times New Roman" w:hAnsi="Times New Roman"/>
          <w:color w:val="000000"/>
        </w:rPr>
        <w:t xml:space="preserve">, and </w:t>
      </w:r>
      <w:r>
        <w:rPr>
          <w:rFonts w:ascii="Times New Roman" w:hAnsi="Times New Roman"/>
          <w:color w:val="000000"/>
        </w:rPr>
        <w:t>an increase of 7</w:t>
      </w:r>
      <w:r w:rsidR="00DF140D">
        <w:rPr>
          <w:rFonts w:ascii="Times New Roman" w:hAnsi="Times New Roman"/>
          <w:color w:val="000000"/>
        </w:rPr>
        <w:t xml:space="preserve"> percentage points from 19% in 2008-09.  </w:t>
      </w:r>
      <w:r w:rsidR="005C55A5">
        <w:rPr>
          <w:rFonts w:ascii="Times New Roman" w:hAnsi="Times New Roman"/>
          <w:color w:val="000000"/>
        </w:rPr>
        <w:t xml:space="preserve"> This is a recent historical high.</w:t>
      </w:r>
    </w:p>
    <w:p w14:paraId="0690513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698948E8" w14:textId="024F226C" w:rsidR="00DF140D" w:rsidRDefault="006565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•Women accounted for 29% of executive producers in 2016-17</w:t>
      </w:r>
      <w:r w:rsidR="00DF140D">
        <w:rPr>
          <w:rFonts w:ascii="Times New Roman" w:hAnsi="Times New Roman"/>
          <w:color w:val="000000"/>
        </w:rPr>
        <w:t>.  This represents a</w:t>
      </w:r>
      <w:r>
        <w:rPr>
          <w:rFonts w:ascii="Times New Roman" w:hAnsi="Times New Roman"/>
          <w:color w:val="000000"/>
        </w:rPr>
        <w:t>n in</w:t>
      </w:r>
      <w:r w:rsidR="00DF140D">
        <w:rPr>
          <w:rFonts w:ascii="Times New Roman" w:hAnsi="Times New Roman"/>
          <w:color w:val="000000"/>
        </w:rPr>
        <w:t>crease o</w:t>
      </w:r>
      <w:r>
        <w:rPr>
          <w:rFonts w:ascii="Times New Roman" w:hAnsi="Times New Roman"/>
          <w:color w:val="000000"/>
        </w:rPr>
        <w:t>f 8</w:t>
      </w:r>
      <w:r w:rsidR="00DF140D">
        <w:rPr>
          <w:rFonts w:ascii="Times New Roman" w:hAnsi="Times New Roman"/>
          <w:color w:val="000000"/>
        </w:rPr>
        <w:t xml:space="preserve"> pe</w:t>
      </w:r>
      <w:r>
        <w:rPr>
          <w:rFonts w:ascii="Times New Roman" w:hAnsi="Times New Roman"/>
          <w:color w:val="000000"/>
        </w:rPr>
        <w:t>rcentag</w:t>
      </w:r>
      <w:r w:rsidR="005C55A5">
        <w:rPr>
          <w:rFonts w:ascii="Times New Roman" w:hAnsi="Times New Roman"/>
          <w:color w:val="000000"/>
        </w:rPr>
        <w:t>e points from 21</w:t>
      </w:r>
      <w:r>
        <w:rPr>
          <w:rFonts w:ascii="Times New Roman" w:hAnsi="Times New Roman"/>
          <w:color w:val="000000"/>
        </w:rPr>
        <w:t>% in 2015-16</w:t>
      </w:r>
      <w:r w:rsidR="00DF140D">
        <w:rPr>
          <w:rFonts w:ascii="Times New Roman" w:hAnsi="Times New Roman"/>
          <w:color w:val="000000"/>
        </w:rPr>
        <w:t>, and a</w:t>
      </w:r>
      <w:r>
        <w:rPr>
          <w:rFonts w:ascii="Times New Roman" w:hAnsi="Times New Roman"/>
          <w:color w:val="000000"/>
        </w:rPr>
        <w:t>n increase of 7</w:t>
      </w:r>
      <w:r w:rsidR="00DF140D">
        <w:rPr>
          <w:rFonts w:ascii="Times New Roman" w:hAnsi="Times New Roman"/>
          <w:color w:val="000000"/>
        </w:rPr>
        <w:t xml:space="preserve"> percentage point</w:t>
      </w:r>
      <w:r>
        <w:rPr>
          <w:rFonts w:ascii="Times New Roman" w:hAnsi="Times New Roman"/>
          <w:color w:val="000000"/>
        </w:rPr>
        <w:t>s</w:t>
      </w:r>
      <w:r w:rsidR="00DF140D">
        <w:rPr>
          <w:rFonts w:ascii="Times New Roman" w:hAnsi="Times New Roman"/>
          <w:color w:val="000000"/>
        </w:rPr>
        <w:t xml:space="preserve"> from 22% in 2008-09.</w:t>
      </w:r>
      <w:r w:rsidR="005C55A5">
        <w:rPr>
          <w:rFonts w:ascii="Times New Roman" w:hAnsi="Times New Roman"/>
          <w:color w:val="000000"/>
        </w:rPr>
        <w:t xml:space="preserve">  This is a recent historical high.</w:t>
      </w:r>
    </w:p>
    <w:p w14:paraId="52BECB8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7C925B9E" w14:textId="77777777" w:rsidR="00DF140D" w:rsidRDefault="0065656E"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•In 2016-17, women comprised 32</w:t>
      </w:r>
      <w:r w:rsidR="00DF140D">
        <w:rPr>
          <w:rFonts w:ascii="Times New Roman" w:hAnsi="Times New Roman"/>
          <w:color w:val="000000"/>
        </w:rPr>
        <w:t>% of producers.  This represents a</w:t>
      </w:r>
      <w:r>
        <w:rPr>
          <w:rFonts w:ascii="Times New Roman" w:hAnsi="Times New Roman"/>
          <w:color w:val="000000"/>
        </w:rPr>
        <w:t>n</w:t>
      </w:r>
      <w:r w:rsidR="00DF140D">
        <w:rPr>
          <w:rFonts w:ascii="Times New Roman" w:hAnsi="Times New Roman"/>
          <w:color w:val="000000"/>
        </w:rPr>
        <w:t xml:space="preserve"> </w:t>
      </w:r>
      <w:r>
        <w:rPr>
          <w:rFonts w:ascii="Times New Roman" w:hAnsi="Times New Roman"/>
          <w:color w:val="000000"/>
        </w:rPr>
        <w:t>increase of 1 percentage point from 31% in 2015-16, and a decrease of 1 percentage point f</w:t>
      </w:r>
      <w:r w:rsidR="00DF140D">
        <w:rPr>
          <w:rFonts w:ascii="Times New Roman" w:hAnsi="Times New Roman"/>
          <w:color w:val="000000"/>
        </w:rPr>
        <w:t>rom 2008-09.</w:t>
      </w:r>
    </w:p>
    <w:p w14:paraId="15D1C658"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2BB2E0E2" w14:textId="77777777" w:rsidR="00DF140D" w:rsidRDefault="00823443"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•In 2016-17</w:t>
      </w:r>
      <w:r w:rsidR="00DF140D">
        <w:rPr>
          <w:rFonts w:ascii="Times New Roman" w:hAnsi="Times New Roman"/>
          <w:color w:val="000000"/>
        </w:rPr>
        <w:t>, wom</w:t>
      </w:r>
      <w:r w:rsidR="0065656E">
        <w:rPr>
          <w:rFonts w:ascii="Times New Roman" w:hAnsi="Times New Roman"/>
          <w:color w:val="000000"/>
        </w:rPr>
        <w:t>en comprised 22</w:t>
      </w:r>
      <w:r w:rsidR="00DF140D">
        <w:rPr>
          <w:rFonts w:ascii="Times New Roman" w:hAnsi="Times New Roman"/>
          <w:color w:val="000000"/>
        </w:rPr>
        <w:t>%</w:t>
      </w:r>
      <w:r w:rsidR="0065656E">
        <w:rPr>
          <w:rFonts w:ascii="Times New Roman" w:hAnsi="Times New Roman"/>
          <w:color w:val="000000"/>
        </w:rPr>
        <w:t xml:space="preserve"> of editors.  This represents an increase of 1 percentage point from 21% in 2015-16</w:t>
      </w:r>
      <w:r>
        <w:rPr>
          <w:rFonts w:ascii="Times New Roman" w:hAnsi="Times New Roman"/>
          <w:color w:val="000000"/>
        </w:rPr>
        <w:t>, and a slight decline of 1 percentage point</w:t>
      </w:r>
      <w:r w:rsidR="00DF140D">
        <w:rPr>
          <w:rFonts w:ascii="Times New Roman" w:hAnsi="Times New Roman"/>
          <w:color w:val="000000"/>
        </w:rPr>
        <w:t xml:space="preserve"> from 23% in 2008-09. </w:t>
      </w:r>
    </w:p>
    <w:p w14:paraId="0869F97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64935EDB"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rFonts w:ascii="Times New Roman" w:hAnsi="Times New Roman"/>
          <w:color w:val="000000"/>
        </w:rPr>
        <w:t>•Women accounted for</w:t>
      </w:r>
      <w:r w:rsidR="00823443">
        <w:rPr>
          <w:rFonts w:ascii="Times New Roman" w:hAnsi="Times New Roman"/>
          <w:color w:val="000000"/>
        </w:rPr>
        <w:t xml:space="preserve"> 11% of cinematographers in 2016-17</w:t>
      </w:r>
      <w:r>
        <w:rPr>
          <w:rFonts w:ascii="Times New Roman" w:hAnsi="Times New Roman"/>
          <w:color w:val="000000"/>
        </w:rPr>
        <w:t xml:space="preserve">.  This represents </w:t>
      </w:r>
      <w:r w:rsidR="00823443">
        <w:rPr>
          <w:rFonts w:ascii="Times New Roman" w:hAnsi="Times New Roman"/>
          <w:color w:val="000000"/>
        </w:rPr>
        <w:t>no change from 2015-16</w:t>
      </w:r>
      <w:r>
        <w:rPr>
          <w:rFonts w:ascii="Times New Roman" w:hAnsi="Times New Roman"/>
          <w:color w:val="000000"/>
        </w:rPr>
        <w:t>, and an increase of 2 percentage points from 9% in 2008-09.</w:t>
      </w:r>
    </w:p>
    <w:p w14:paraId="04AAEC9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337D6A4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6D62BC32" w14:textId="77777777" w:rsidR="00DF140D" w:rsidRPr="00624972"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Figure 3</w:t>
      </w:r>
      <w:r w:rsidRPr="00624972">
        <w:rPr>
          <w:rFonts w:ascii="Times New Roman" w:hAnsi="Times New Roman"/>
          <w:i/>
          <w:color w:val="000000"/>
        </w:rPr>
        <w:t>.</w:t>
      </w:r>
    </w:p>
    <w:p w14:paraId="7FDAAFE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 xml:space="preserve">Historical </w:t>
      </w:r>
      <w:r w:rsidRPr="00484945">
        <w:rPr>
          <w:rFonts w:ascii="Times New Roman" w:hAnsi="Times New Roman"/>
          <w:i/>
          <w:color w:val="000000"/>
        </w:rPr>
        <w:t xml:space="preserve">Comparison of </w:t>
      </w:r>
      <w:r>
        <w:rPr>
          <w:rFonts w:ascii="Times New Roman" w:hAnsi="Times New Roman"/>
          <w:i/>
          <w:color w:val="000000"/>
        </w:rPr>
        <w:t>Percentages of Women Working on Independent Features by Role</w:t>
      </w:r>
    </w:p>
    <w:p w14:paraId="039B97A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color w:val="000000"/>
        </w:rPr>
      </w:pPr>
    </w:p>
    <w:p w14:paraId="03149318" w14:textId="77777777" w:rsidR="00DF140D" w:rsidRDefault="00823443"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r>
        <w:rPr>
          <w:noProof/>
        </w:rPr>
        <w:drawing>
          <wp:inline distT="0" distB="0" distL="0" distR="0" wp14:anchorId="72D6D11F" wp14:editId="5D2ABBAD">
            <wp:extent cx="2743200" cy="4838700"/>
            <wp:effectExtent l="0" t="0" r="25400" b="1270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75BBB8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rPr>
      </w:pPr>
    </w:p>
    <w:p w14:paraId="2535687C" w14:textId="0A087B42"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w:t>
      </w:r>
      <w:r w:rsidR="00590412">
        <w:rPr>
          <w:rFonts w:ascii="Times New Roman" w:hAnsi="Times New Roman"/>
          <w:color w:val="000000"/>
          <w:szCs w:val="19"/>
        </w:rPr>
        <w:t>T</w:t>
      </w:r>
      <w:r w:rsidR="00823443">
        <w:rPr>
          <w:rFonts w:ascii="Times New Roman" w:hAnsi="Times New Roman"/>
          <w:color w:val="000000"/>
          <w:szCs w:val="19"/>
        </w:rPr>
        <w:t xml:space="preserve">his year’s study also tracked women’s representation as composers.  In 2016-17, women accounted for 9% of composers.  This represents no change from 2014-15, and a slight decline of 1 percentage point from 2013-14. </w:t>
      </w:r>
    </w:p>
    <w:p w14:paraId="0CF62A0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AB60A6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14B916EA" w14:textId="77777777" w:rsidR="00823443" w:rsidRDefault="00823443"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1BB0C329" w14:textId="77777777" w:rsidR="00823443" w:rsidRDefault="00823443"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76C8CC5C" w14:textId="77777777" w:rsidR="00196046" w:rsidRDefault="0019604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026D47CE" w14:textId="77777777" w:rsidR="00590412" w:rsidRDefault="00590412"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1054CB67" w14:textId="77777777" w:rsidR="00196046" w:rsidRDefault="0019604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430A8C54" w14:textId="77777777" w:rsidR="00DF140D" w:rsidRPr="00FF5D0E"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iCs/>
          <w:color w:val="1F497D" w:themeColor="text2"/>
        </w:rPr>
      </w:pPr>
      <w:r w:rsidRPr="00FF5D0E">
        <w:rPr>
          <w:rFonts w:ascii="Times New Roman" w:hAnsi="Times New Roman"/>
          <w:b/>
          <w:i/>
          <w:iCs/>
          <w:color w:val="1F497D" w:themeColor="text2"/>
        </w:rPr>
        <w:t>Findings for Documentaries Only</w:t>
      </w:r>
    </w:p>
    <w:p w14:paraId="06B64BD5"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iCs/>
          <w:color w:val="000000"/>
        </w:rPr>
      </w:pPr>
    </w:p>
    <w:p w14:paraId="1A87F1A3" w14:textId="77777777" w:rsidR="00DF140D" w:rsidRDefault="006F43D1"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•Overall, women comprised 31</w:t>
      </w:r>
      <w:r w:rsidR="00DF140D">
        <w:rPr>
          <w:rFonts w:ascii="Times New Roman" w:hAnsi="Times New Roman"/>
          <w:iCs/>
          <w:color w:val="000000"/>
        </w:rPr>
        <w:t>% of individuals working on documentaries in the behind-the-scenes roles</w:t>
      </w:r>
      <w:r>
        <w:rPr>
          <w:rFonts w:ascii="Times New Roman" w:hAnsi="Times New Roman"/>
          <w:iCs/>
          <w:color w:val="000000"/>
        </w:rPr>
        <w:t xml:space="preserve"> considered.  This represents an increase of 2</w:t>
      </w:r>
      <w:r w:rsidR="00DF140D">
        <w:rPr>
          <w:rFonts w:ascii="Times New Roman" w:hAnsi="Times New Roman"/>
          <w:iCs/>
          <w:color w:val="000000"/>
        </w:rPr>
        <w:t xml:space="preserve"> percentage point</w:t>
      </w:r>
      <w:r>
        <w:rPr>
          <w:rFonts w:ascii="Times New Roman" w:hAnsi="Times New Roman"/>
          <w:iCs/>
          <w:color w:val="000000"/>
        </w:rPr>
        <w:t>s from 29% in 2015-16</w:t>
      </w:r>
      <w:r w:rsidR="00DF140D">
        <w:rPr>
          <w:rFonts w:ascii="Times New Roman" w:hAnsi="Times New Roman"/>
          <w:iCs/>
          <w:color w:val="000000"/>
        </w:rPr>
        <w:t>.</w:t>
      </w:r>
    </w:p>
    <w:p w14:paraId="6C4DCA1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7F4E9FF4" w14:textId="77777777" w:rsidR="00DF140D" w:rsidRPr="00831F0A"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w:t>
      </w:r>
      <w:r w:rsidR="006F43D1">
        <w:rPr>
          <w:rFonts w:ascii="Times New Roman" w:hAnsi="Times New Roman"/>
          <w:iCs/>
          <w:color w:val="000000"/>
        </w:rPr>
        <w:t>omen fared best as producers (36</w:t>
      </w:r>
      <w:r>
        <w:rPr>
          <w:rFonts w:ascii="Times New Roman" w:hAnsi="Times New Roman"/>
          <w:iCs/>
          <w:color w:val="000000"/>
        </w:rPr>
        <w:t xml:space="preserve">%) and </w:t>
      </w:r>
      <w:r w:rsidR="006F43D1">
        <w:rPr>
          <w:rFonts w:ascii="Times New Roman" w:hAnsi="Times New Roman"/>
          <w:iCs/>
          <w:color w:val="000000"/>
        </w:rPr>
        <w:t>executive producers (36</w:t>
      </w:r>
      <w:r>
        <w:rPr>
          <w:rFonts w:ascii="Times New Roman" w:hAnsi="Times New Roman"/>
          <w:iCs/>
          <w:color w:val="000000"/>
        </w:rPr>
        <w:t>%)</w:t>
      </w:r>
      <w:proofErr w:type="gramStart"/>
      <w:r>
        <w:rPr>
          <w:rFonts w:ascii="Times New Roman" w:hAnsi="Times New Roman"/>
          <w:iCs/>
          <w:color w:val="000000"/>
        </w:rPr>
        <w:t xml:space="preserve">, </w:t>
      </w:r>
      <w:r w:rsidR="006F43D1">
        <w:rPr>
          <w:rFonts w:ascii="Times New Roman" w:hAnsi="Times New Roman"/>
          <w:iCs/>
          <w:color w:val="000000"/>
        </w:rPr>
        <w:t xml:space="preserve"> followed</w:t>
      </w:r>
      <w:proofErr w:type="gramEnd"/>
      <w:r w:rsidR="006F43D1">
        <w:rPr>
          <w:rFonts w:ascii="Times New Roman" w:hAnsi="Times New Roman"/>
          <w:iCs/>
          <w:color w:val="000000"/>
        </w:rPr>
        <w:t xml:space="preserve"> by directors (33%), writers (32</w:t>
      </w:r>
      <w:r>
        <w:rPr>
          <w:rFonts w:ascii="Times New Roman" w:hAnsi="Times New Roman"/>
          <w:iCs/>
          <w:color w:val="000000"/>
        </w:rPr>
        <w:t>%), editors (2</w:t>
      </w:r>
      <w:r w:rsidR="006F43D1">
        <w:rPr>
          <w:rFonts w:ascii="Times New Roman" w:hAnsi="Times New Roman"/>
          <w:iCs/>
          <w:color w:val="000000"/>
        </w:rPr>
        <w:t>4%), and cinematographers (11</w:t>
      </w:r>
      <w:r>
        <w:rPr>
          <w:rFonts w:ascii="Times New Roman" w:hAnsi="Times New Roman"/>
          <w:iCs/>
          <w:color w:val="000000"/>
        </w:rPr>
        <w:t>%) (</w:t>
      </w:r>
      <w:proofErr w:type="gramStart"/>
      <w:r>
        <w:rPr>
          <w:rFonts w:ascii="Times New Roman" w:hAnsi="Times New Roman"/>
          <w:iCs/>
          <w:color w:val="000000"/>
        </w:rPr>
        <w:t>see</w:t>
      </w:r>
      <w:proofErr w:type="gramEnd"/>
      <w:r>
        <w:rPr>
          <w:rFonts w:ascii="Times New Roman" w:hAnsi="Times New Roman"/>
          <w:iCs/>
          <w:color w:val="000000"/>
        </w:rPr>
        <w:t xml:space="preserve"> Figure 4).</w:t>
      </w:r>
    </w:p>
    <w:p w14:paraId="065B5E7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noProof/>
          <w:color w:val="000000"/>
        </w:rPr>
      </w:pPr>
    </w:p>
    <w:p w14:paraId="7A4484D9" w14:textId="30E83ECF" w:rsidR="00DF140D" w:rsidRDefault="006F43D1" w:rsidP="006F43D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•Women comprised 33</w:t>
      </w:r>
      <w:r w:rsidR="00DF140D">
        <w:rPr>
          <w:rFonts w:ascii="Times New Roman" w:hAnsi="Times New Roman"/>
          <w:iCs/>
          <w:color w:val="000000"/>
        </w:rPr>
        <w:t xml:space="preserve">% of directors working on documentaries screening at </w:t>
      </w:r>
      <w:r>
        <w:rPr>
          <w:rFonts w:ascii="Times New Roman" w:hAnsi="Times New Roman"/>
          <w:iCs/>
          <w:color w:val="000000"/>
        </w:rPr>
        <w:t>the festivals considered in 2016-17.  This represents a decrease of 2 percentage points from 35% in 2015-16, and an increase of 5</w:t>
      </w:r>
      <w:r w:rsidR="00DF140D">
        <w:rPr>
          <w:rFonts w:ascii="Times New Roman" w:hAnsi="Times New Roman"/>
          <w:iCs/>
          <w:color w:val="000000"/>
        </w:rPr>
        <w:t xml:space="preserve"> percentage points from 28% in 2008-09. </w:t>
      </w:r>
    </w:p>
    <w:p w14:paraId="31A975D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4D198580" w14:textId="77777777" w:rsidR="00DF140D" w:rsidRDefault="006F43D1"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•Women accounted for 32</w:t>
      </w:r>
      <w:r w:rsidR="00DF140D">
        <w:rPr>
          <w:rFonts w:ascii="Times New Roman" w:hAnsi="Times New Roman"/>
          <w:iCs/>
          <w:color w:val="000000"/>
        </w:rPr>
        <w:t xml:space="preserve">% of writers </w:t>
      </w:r>
      <w:r>
        <w:rPr>
          <w:rFonts w:ascii="Times New Roman" w:hAnsi="Times New Roman"/>
          <w:iCs/>
          <w:color w:val="000000"/>
        </w:rPr>
        <w:t>working on documentaries in 2016-17</w:t>
      </w:r>
      <w:r w:rsidR="00DF140D">
        <w:rPr>
          <w:rFonts w:ascii="Times New Roman" w:hAnsi="Times New Roman"/>
          <w:iCs/>
          <w:color w:val="000000"/>
        </w:rPr>
        <w:t xml:space="preserve">.  </w:t>
      </w:r>
      <w:r>
        <w:rPr>
          <w:rFonts w:ascii="Times New Roman" w:hAnsi="Times New Roman"/>
          <w:iCs/>
          <w:color w:val="000000"/>
        </w:rPr>
        <w:t>This represents an increase of 1 percentage point from 31% in 2015-16, and an increase of 4</w:t>
      </w:r>
      <w:r w:rsidR="00DF140D">
        <w:rPr>
          <w:rFonts w:ascii="Times New Roman" w:hAnsi="Times New Roman"/>
          <w:iCs/>
          <w:color w:val="000000"/>
        </w:rPr>
        <w:t xml:space="preserve"> percentage points from 28% in 2008-09.</w:t>
      </w:r>
    </w:p>
    <w:p w14:paraId="672370A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55A5280E" w14:textId="58BE602B" w:rsidR="00DF140D" w:rsidRDefault="006F43D1"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•Women comprised 36</w:t>
      </w:r>
      <w:r w:rsidR="00DF140D">
        <w:rPr>
          <w:rFonts w:ascii="Times New Roman" w:hAnsi="Times New Roman"/>
          <w:iCs/>
          <w:color w:val="000000"/>
        </w:rPr>
        <w:t xml:space="preserve">% of executive producers </w:t>
      </w:r>
      <w:r>
        <w:rPr>
          <w:rFonts w:ascii="Times New Roman" w:hAnsi="Times New Roman"/>
          <w:iCs/>
          <w:color w:val="000000"/>
        </w:rPr>
        <w:t>working on documentaries in 2016-17</w:t>
      </w:r>
      <w:r w:rsidR="00DF140D">
        <w:rPr>
          <w:rFonts w:ascii="Times New Roman" w:hAnsi="Times New Roman"/>
          <w:iCs/>
          <w:color w:val="000000"/>
        </w:rPr>
        <w:t xml:space="preserve">.  </w:t>
      </w:r>
      <w:r>
        <w:rPr>
          <w:rFonts w:ascii="Times New Roman" w:hAnsi="Times New Roman"/>
          <w:iCs/>
          <w:color w:val="000000"/>
        </w:rPr>
        <w:t xml:space="preserve">This represents an increase of 9 percentage points from 27% in 2015-16 and </w:t>
      </w:r>
      <w:r w:rsidR="00DF140D">
        <w:rPr>
          <w:rFonts w:ascii="Times New Roman" w:hAnsi="Times New Roman"/>
          <w:iCs/>
          <w:color w:val="000000"/>
        </w:rPr>
        <w:t>in 2008-09.</w:t>
      </w:r>
      <w:r w:rsidR="005C55A5">
        <w:rPr>
          <w:rFonts w:ascii="Times New Roman" w:hAnsi="Times New Roman"/>
          <w:iCs/>
          <w:color w:val="000000"/>
        </w:rPr>
        <w:t xml:space="preserve">  This is a recent historical high.</w:t>
      </w:r>
    </w:p>
    <w:p w14:paraId="3BFE912E"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3014615C" w14:textId="77777777" w:rsidR="00DF140D" w:rsidRDefault="006F43D1"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•Women accounted for 36</w:t>
      </w:r>
      <w:r w:rsidR="00DF140D">
        <w:rPr>
          <w:rFonts w:ascii="Times New Roman" w:hAnsi="Times New Roman"/>
          <w:iCs/>
          <w:color w:val="000000"/>
        </w:rPr>
        <w:t xml:space="preserve">% of producers working on documentaries in </w:t>
      </w:r>
    </w:p>
    <w:p w14:paraId="18E7E37C" w14:textId="77777777" w:rsidR="00DF140D" w:rsidRDefault="006F43D1"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2016-17.  This represents an increase of 1 percentage point from 35</w:t>
      </w:r>
      <w:r w:rsidR="00DF140D">
        <w:rPr>
          <w:rFonts w:ascii="Times New Roman" w:hAnsi="Times New Roman"/>
          <w:iCs/>
          <w:color w:val="000000"/>
        </w:rPr>
        <w:t>%</w:t>
      </w:r>
      <w:r>
        <w:rPr>
          <w:rFonts w:ascii="Times New Roman" w:hAnsi="Times New Roman"/>
          <w:iCs/>
          <w:color w:val="000000"/>
        </w:rPr>
        <w:t xml:space="preserve"> in 2015-16</w:t>
      </w:r>
      <w:r w:rsidR="00DF140D">
        <w:rPr>
          <w:rFonts w:ascii="Times New Roman" w:hAnsi="Times New Roman"/>
          <w:iCs/>
          <w:color w:val="000000"/>
        </w:rPr>
        <w:t>,</w:t>
      </w:r>
      <w:r>
        <w:rPr>
          <w:rFonts w:ascii="Times New Roman" w:hAnsi="Times New Roman"/>
          <w:iCs/>
          <w:color w:val="000000"/>
        </w:rPr>
        <w:t xml:space="preserve"> and a decrease of 3 percentage points from 39% in 2008-09.</w:t>
      </w:r>
    </w:p>
    <w:p w14:paraId="130ED67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3B45E1C7"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1A7C41B7" w14:textId="77777777" w:rsidR="005C55A5" w:rsidRDefault="005C55A5"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2BF1D921" w14:textId="77777777" w:rsidR="005C55A5" w:rsidRDefault="005C55A5"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200BEA23" w14:textId="77777777" w:rsidR="00196046" w:rsidRDefault="0019604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p>
    <w:p w14:paraId="042211A4" w14:textId="77777777" w:rsidR="00196046" w:rsidRDefault="0019604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p>
    <w:p w14:paraId="02F36DA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Figure 4.</w:t>
      </w:r>
    </w:p>
    <w:p w14:paraId="4FC1874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 xml:space="preserve">Historical Comparison of Percentages of Women Working on Documentaries </w:t>
      </w:r>
    </w:p>
    <w:p w14:paraId="4E6F040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proofErr w:type="gramStart"/>
      <w:r>
        <w:rPr>
          <w:rFonts w:ascii="Times New Roman" w:hAnsi="Times New Roman"/>
          <w:i/>
          <w:color w:val="000000"/>
        </w:rPr>
        <w:t>by</w:t>
      </w:r>
      <w:proofErr w:type="gramEnd"/>
      <w:r>
        <w:rPr>
          <w:rFonts w:ascii="Times New Roman" w:hAnsi="Times New Roman"/>
          <w:i/>
          <w:color w:val="000000"/>
        </w:rPr>
        <w:t xml:space="preserve"> Role</w:t>
      </w:r>
    </w:p>
    <w:p w14:paraId="13F9BC7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rPr>
      </w:pPr>
    </w:p>
    <w:p w14:paraId="6EBEC3E4" w14:textId="77777777" w:rsidR="00DF140D" w:rsidRDefault="006B5F5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rPr>
      </w:pPr>
      <w:r>
        <w:rPr>
          <w:noProof/>
        </w:rPr>
        <w:drawing>
          <wp:inline distT="0" distB="0" distL="0" distR="0" wp14:anchorId="4127CF1D" wp14:editId="156D0361">
            <wp:extent cx="2743200" cy="4483100"/>
            <wp:effectExtent l="0" t="0" r="25400" b="1270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76DEC4E"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3F0F2428" w14:textId="77777777" w:rsidR="00DF140D" w:rsidRDefault="006B5F5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•Women comprised 24</w:t>
      </w:r>
      <w:r w:rsidR="00DF140D">
        <w:rPr>
          <w:rFonts w:ascii="Times New Roman" w:hAnsi="Times New Roman"/>
          <w:iCs/>
          <w:color w:val="000000"/>
        </w:rPr>
        <w:t xml:space="preserve">% of editors </w:t>
      </w:r>
      <w:r>
        <w:rPr>
          <w:rFonts w:ascii="Times New Roman" w:hAnsi="Times New Roman"/>
          <w:iCs/>
          <w:color w:val="000000"/>
        </w:rPr>
        <w:t>working on documentaries in 2016-17.  This represents an increase of 2</w:t>
      </w:r>
      <w:r w:rsidR="00DF140D">
        <w:rPr>
          <w:rFonts w:ascii="Times New Roman" w:hAnsi="Times New Roman"/>
          <w:iCs/>
          <w:color w:val="000000"/>
        </w:rPr>
        <w:t xml:space="preserve"> percentage point</w:t>
      </w:r>
      <w:r>
        <w:rPr>
          <w:rFonts w:ascii="Times New Roman" w:hAnsi="Times New Roman"/>
          <w:iCs/>
          <w:color w:val="000000"/>
        </w:rPr>
        <w:t>s from 22</w:t>
      </w:r>
      <w:r w:rsidR="00DF140D">
        <w:rPr>
          <w:rFonts w:ascii="Times New Roman" w:hAnsi="Times New Roman"/>
          <w:iCs/>
          <w:color w:val="000000"/>
        </w:rPr>
        <w:t>%</w:t>
      </w:r>
      <w:r>
        <w:rPr>
          <w:rFonts w:ascii="Times New Roman" w:hAnsi="Times New Roman"/>
          <w:iCs/>
          <w:color w:val="000000"/>
        </w:rPr>
        <w:t xml:space="preserve"> last year, and an increase of 5</w:t>
      </w:r>
      <w:r w:rsidR="00DF140D">
        <w:rPr>
          <w:rFonts w:ascii="Times New Roman" w:hAnsi="Times New Roman"/>
          <w:iCs/>
          <w:color w:val="000000"/>
        </w:rPr>
        <w:t xml:space="preserve"> percentage points from 19% in 2008-09.</w:t>
      </w:r>
    </w:p>
    <w:p w14:paraId="42EAF8BC"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4B5514D8" w14:textId="7AEA7E88" w:rsidR="006B5F5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•Women</w:t>
      </w:r>
      <w:r w:rsidR="006B5F5D">
        <w:rPr>
          <w:rFonts w:ascii="Times New Roman" w:hAnsi="Times New Roman"/>
          <w:iCs/>
          <w:color w:val="000000"/>
        </w:rPr>
        <w:t xml:space="preserve"> accounted for 11</w:t>
      </w:r>
      <w:r>
        <w:rPr>
          <w:rFonts w:ascii="Times New Roman" w:hAnsi="Times New Roman"/>
          <w:iCs/>
          <w:color w:val="000000"/>
        </w:rPr>
        <w:t>% of cinematographers w</w:t>
      </w:r>
      <w:r w:rsidR="006B5F5D">
        <w:rPr>
          <w:rFonts w:ascii="Times New Roman" w:hAnsi="Times New Roman"/>
          <w:iCs/>
          <w:color w:val="000000"/>
        </w:rPr>
        <w:t>orking on documentaries in 2016-17.  This represents a decrease of 4</w:t>
      </w:r>
      <w:r w:rsidR="005C55A5">
        <w:rPr>
          <w:rFonts w:ascii="Times New Roman" w:hAnsi="Times New Roman"/>
          <w:iCs/>
          <w:color w:val="000000"/>
        </w:rPr>
        <w:t xml:space="preserve"> percentage points from 15</w:t>
      </w:r>
      <w:r>
        <w:rPr>
          <w:rFonts w:ascii="Times New Roman" w:hAnsi="Times New Roman"/>
          <w:iCs/>
          <w:color w:val="000000"/>
        </w:rPr>
        <w:t xml:space="preserve">% last year, and </w:t>
      </w:r>
      <w:r w:rsidR="005C55A5">
        <w:rPr>
          <w:rFonts w:ascii="Times New Roman" w:hAnsi="Times New Roman"/>
          <w:iCs/>
          <w:color w:val="000000"/>
        </w:rPr>
        <w:t>is even with the figure</w:t>
      </w:r>
      <w:r>
        <w:rPr>
          <w:rFonts w:ascii="Times New Roman" w:hAnsi="Times New Roman"/>
          <w:iCs/>
          <w:color w:val="000000"/>
        </w:rPr>
        <w:t xml:space="preserve"> from 2008-09.</w:t>
      </w:r>
    </w:p>
    <w:p w14:paraId="0B3B1B1D" w14:textId="08BD1D89" w:rsidR="005C55A5" w:rsidRDefault="005C55A5"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Pr>
          <w:rFonts w:ascii="Times New Roman" w:hAnsi="Times New Roman"/>
          <w:iCs/>
          <w:color w:val="000000"/>
        </w:rPr>
        <w:t>•</w:t>
      </w:r>
      <w:r w:rsidR="00670023">
        <w:rPr>
          <w:rFonts w:ascii="Times New Roman" w:hAnsi="Times New Roman"/>
          <w:iCs/>
          <w:color w:val="000000"/>
        </w:rPr>
        <w:t>T</w:t>
      </w:r>
      <w:r>
        <w:rPr>
          <w:rFonts w:ascii="Times New Roman" w:hAnsi="Times New Roman"/>
          <w:iCs/>
          <w:color w:val="000000"/>
        </w:rPr>
        <w:t>his year’s study also considere</w:t>
      </w:r>
      <w:r w:rsidR="0097367D">
        <w:rPr>
          <w:rFonts w:ascii="Times New Roman" w:hAnsi="Times New Roman"/>
          <w:iCs/>
          <w:color w:val="000000"/>
        </w:rPr>
        <w:t>d composers.  Women comprised 5</w:t>
      </w:r>
      <w:r>
        <w:rPr>
          <w:rFonts w:ascii="Times New Roman" w:hAnsi="Times New Roman"/>
          <w:iCs/>
          <w:color w:val="000000"/>
        </w:rPr>
        <w:t xml:space="preserve">% of composers working on documentaries in 2016-17.  This represents </w:t>
      </w:r>
      <w:r w:rsidR="0097367D">
        <w:rPr>
          <w:rFonts w:ascii="Times New Roman" w:hAnsi="Times New Roman"/>
          <w:iCs/>
          <w:color w:val="000000"/>
        </w:rPr>
        <w:t>a decline of 4</w:t>
      </w:r>
      <w:r>
        <w:rPr>
          <w:rFonts w:ascii="Times New Roman" w:hAnsi="Times New Roman"/>
          <w:iCs/>
          <w:color w:val="000000"/>
        </w:rPr>
        <w:t xml:space="preserve"> percentage points from 9% in 2014-15.</w:t>
      </w:r>
    </w:p>
    <w:p w14:paraId="7696EF0B" w14:textId="77777777" w:rsidR="005C55A5" w:rsidRDefault="005C55A5"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76DA3876" w14:textId="77777777" w:rsidR="005C55A5" w:rsidRDefault="005C55A5"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1A0D866D" w14:textId="77777777" w:rsidR="00DF140D" w:rsidRPr="006B5F5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r w:rsidRPr="00FF5D0E">
        <w:rPr>
          <w:rFonts w:ascii="Times New Roman" w:hAnsi="Times New Roman"/>
          <w:b/>
          <w:i/>
          <w:iCs/>
          <w:color w:val="1F497D" w:themeColor="text2"/>
        </w:rPr>
        <w:t>Findings for Narrative Features Only</w:t>
      </w:r>
    </w:p>
    <w:p w14:paraId="13EAC2E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iCs/>
          <w:color w:val="000000"/>
        </w:rPr>
      </w:pPr>
    </w:p>
    <w:p w14:paraId="30445124" w14:textId="77777777" w:rsidR="00DF140D" w:rsidRPr="00B52590"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noProof/>
          <w:color w:val="000000"/>
        </w:rPr>
      </w:pPr>
      <w:r>
        <w:rPr>
          <w:rFonts w:ascii="Times New Roman" w:hAnsi="Times New Roman"/>
          <w:iCs/>
          <w:color w:val="000000"/>
        </w:rPr>
        <w:t>•Overall</w:t>
      </w:r>
      <w:r w:rsidR="006B5F5D">
        <w:rPr>
          <w:rFonts w:ascii="Times New Roman" w:hAnsi="Times New Roman"/>
          <w:iCs/>
          <w:color w:val="000000"/>
        </w:rPr>
        <w:t>, women comprised 26</w:t>
      </w:r>
      <w:r>
        <w:rPr>
          <w:rFonts w:ascii="Times New Roman" w:hAnsi="Times New Roman"/>
          <w:iCs/>
          <w:color w:val="000000"/>
        </w:rPr>
        <w:t>% of individuals working in the behind-the-scenes roles consider</w:t>
      </w:r>
      <w:r w:rsidR="006B5F5D">
        <w:rPr>
          <w:rFonts w:ascii="Times New Roman" w:hAnsi="Times New Roman"/>
          <w:iCs/>
          <w:color w:val="000000"/>
        </w:rPr>
        <w:t>ed on narrative features in 2016-17</w:t>
      </w:r>
      <w:r>
        <w:rPr>
          <w:rFonts w:ascii="Times New Roman" w:hAnsi="Times New Roman"/>
          <w:iCs/>
          <w:color w:val="000000"/>
        </w:rPr>
        <w:t>.  This represents a</w:t>
      </w:r>
      <w:r w:rsidR="006B5F5D">
        <w:rPr>
          <w:rFonts w:ascii="Times New Roman" w:hAnsi="Times New Roman"/>
          <w:iCs/>
          <w:color w:val="000000"/>
        </w:rPr>
        <w:t>n increase of 3</w:t>
      </w:r>
      <w:r>
        <w:rPr>
          <w:rFonts w:ascii="Times New Roman" w:hAnsi="Times New Roman"/>
          <w:iCs/>
          <w:color w:val="000000"/>
        </w:rPr>
        <w:t xml:space="preserve"> percentage point</w:t>
      </w:r>
      <w:r w:rsidR="006B5F5D">
        <w:rPr>
          <w:rFonts w:ascii="Times New Roman" w:hAnsi="Times New Roman"/>
          <w:iCs/>
          <w:color w:val="000000"/>
        </w:rPr>
        <w:t>s from 23% in 2015-16</w:t>
      </w:r>
      <w:r>
        <w:rPr>
          <w:rFonts w:ascii="Times New Roman" w:hAnsi="Times New Roman"/>
          <w:iCs/>
          <w:color w:val="000000"/>
        </w:rPr>
        <w:t>.</w:t>
      </w:r>
    </w:p>
    <w:p w14:paraId="47E9AC84" w14:textId="77777777" w:rsidR="00DF140D" w:rsidRPr="003C24E3"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6A8C270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•Women fared best as producer</w:t>
      </w:r>
      <w:r w:rsidR="006B5F5D">
        <w:rPr>
          <w:rFonts w:ascii="Times New Roman" w:hAnsi="Times New Roman"/>
          <w:color w:val="000000"/>
          <w:szCs w:val="19"/>
        </w:rPr>
        <w:t>s (30%), followed by executive producers (26%), directors (25%), writers (23%), editors (22</w:t>
      </w:r>
      <w:r>
        <w:rPr>
          <w:rFonts w:ascii="Times New Roman" w:hAnsi="Times New Roman"/>
          <w:color w:val="000000"/>
          <w:szCs w:val="19"/>
        </w:rPr>
        <w:t xml:space="preserve">%), </w:t>
      </w:r>
      <w:r w:rsidR="006B5F5D">
        <w:rPr>
          <w:rFonts w:ascii="Times New Roman" w:hAnsi="Times New Roman"/>
          <w:color w:val="000000"/>
          <w:szCs w:val="19"/>
        </w:rPr>
        <w:t>and cinematographers (10</w:t>
      </w:r>
      <w:r>
        <w:rPr>
          <w:rFonts w:ascii="Times New Roman" w:hAnsi="Times New Roman"/>
          <w:color w:val="000000"/>
          <w:szCs w:val="19"/>
        </w:rPr>
        <w:t>%) (</w:t>
      </w:r>
      <w:proofErr w:type="gramStart"/>
      <w:r>
        <w:rPr>
          <w:rFonts w:ascii="Times New Roman" w:hAnsi="Times New Roman"/>
          <w:color w:val="000000"/>
          <w:szCs w:val="19"/>
        </w:rPr>
        <w:t>see</w:t>
      </w:r>
      <w:proofErr w:type="gramEnd"/>
      <w:r>
        <w:rPr>
          <w:rFonts w:ascii="Times New Roman" w:hAnsi="Times New Roman"/>
          <w:color w:val="000000"/>
          <w:szCs w:val="19"/>
        </w:rPr>
        <w:t xml:space="preserve"> Figure 5).</w:t>
      </w:r>
    </w:p>
    <w:p w14:paraId="1DC15683"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1D20B0D1" w14:textId="77777777" w:rsidR="00DF140D" w:rsidRPr="001F2BB3" w:rsidRDefault="006B5F5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rPr>
      </w:pPr>
      <w:r>
        <w:rPr>
          <w:rFonts w:ascii="Times New Roman" w:hAnsi="Times New Roman"/>
          <w:color w:val="000000"/>
          <w:szCs w:val="19"/>
        </w:rPr>
        <w:t>•Women accounted for 25</w:t>
      </w:r>
      <w:r w:rsidR="00DF140D">
        <w:rPr>
          <w:rFonts w:ascii="Times New Roman" w:hAnsi="Times New Roman"/>
          <w:color w:val="000000"/>
          <w:szCs w:val="19"/>
        </w:rPr>
        <w:t xml:space="preserve">% of directors working on narrative features screening at </w:t>
      </w:r>
      <w:r>
        <w:rPr>
          <w:rFonts w:ascii="Times New Roman" w:hAnsi="Times New Roman"/>
          <w:color w:val="000000"/>
          <w:szCs w:val="19"/>
        </w:rPr>
        <w:t>the festivals considered in 2016-17, an increase of 6</w:t>
      </w:r>
      <w:r w:rsidR="00DF140D">
        <w:rPr>
          <w:rFonts w:ascii="Times New Roman" w:hAnsi="Times New Roman"/>
          <w:color w:val="000000"/>
          <w:szCs w:val="19"/>
        </w:rPr>
        <w:t xml:space="preserve"> percentage point</w:t>
      </w:r>
      <w:r>
        <w:rPr>
          <w:rFonts w:ascii="Times New Roman" w:hAnsi="Times New Roman"/>
          <w:color w:val="000000"/>
          <w:szCs w:val="19"/>
        </w:rPr>
        <w:t>s</w:t>
      </w:r>
      <w:r w:rsidR="006F4C26">
        <w:rPr>
          <w:rFonts w:ascii="Times New Roman" w:hAnsi="Times New Roman"/>
          <w:color w:val="000000"/>
          <w:szCs w:val="19"/>
        </w:rPr>
        <w:t xml:space="preserve"> from 19% in 2015-16</w:t>
      </w:r>
      <w:r w:rsidR="00DF140D">
        <w:rPr>
          <w:rFonts w:ascii="Times New Roman" w:hAnsi="Times New Roman"/>
          <w:color w:val="000000"/>
          <w:szCs w:val="19"/>
        </w:rPr>
        <w:t xml:space="preserve">, and an increase of </w:t>
      </w:r>
      <w:r w:rsidR="006F4C26">
        <w:rPr>
          <w:rFonts w:ascii="Times New Roman" w:hAnsi="Times New Roman"/>
          <w:color w:val="000000"/>
          <w:szCs w:val="19"/>
        </w:rPr>
        <w:t xml:space="preserve">10 </w:t>
      </w:r>
      <w:r w:rsidR="00DF140D">
        <w:rPr>
          <w:rFonts w:ascii="Times New Roman" w:hAnsi="Times New Roman"/>
          <w:color w:val="000000"/>
          <w:szCs w:val="19"/>
        </w:rPr>
        <w:t>percentage points from 15% in 2008-09.</w:t>
      </w:r>
      <w:r w:rsidR="006F4C26">
        <w:rPr>
          <w:rFonts w:ascii="Times New Roman" w:hAnsi="Times New Roman"/>
          <w:color w:val="000000"/>
          <w:szCs w:val="19"/>
        </w:rPr>
        <w:t xml:space="preserve">  This is a recent historical high.</w:t>
      </w:r>
    </w:p>
    <w:p w14:paraId="0A2BF18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2DCC8D0" w14:textId="2CB50BF1" w:rsidR="00DF140D" w:rsidRDefault="006F4C2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•In 2016-17, women comprised 23</w:t>
      </w:r>
      <w:r w:rsidR="00DF140D">
        <w:rPr>
          <w:rFonts w:ascii="Times New Roman" w:hAnsi="Times New Roman"/>
          <w:color w:val="000000"/>
          <w:szCs w:val="19"/>
        </w:rPr>
        <w:t>% of writers working on narrati</w:t>
      </w:r>
      <w:r>
        <w:rPr>
          <w:rFonts w:ascii="Times New Roman" w:hAnsi="Times New Roman"/>
          <w:color w:val="000000"/>
          <w:szCs w:val="19"/>
        </w:rPr>
        <w:t>ve features.  This represents an increase of 4 percentage points from 19% in 2015-16</w:t>
      </w:r>
      <w:r w:rsidR="00DF140D">
        <w:rPr>
          <w:rFonts w:ascii="Times New Roman" w:hAnsi="Times New Roman"/>
          <w:color w:val="000000"/>
          <w:szCs w:val="19"/>
        </w:rPr>
        <w:t xml:space="preserve">, </w:t>
      </w:r>
      <w:r>
        <w:rPr>
          <w:rFonts w:ascii="Times New Roman" w:hAnsi="Times New Roman"/>
          <w:color w:val="000000"/>
          <w:szCs w:val="19"/>
        </w:rPr>
        <w:t>and an increase of 8</w:t>
      </w:r>
      <w:r w:rsidR="00DF140D">
        <w:rPr>
          <w:rFonts w:ascii="Times New Roman" w:hAnsi="Times New Roman"/>
          <w:color w:val="000000"/>
          <w:szCs w:val="19"/>
        </w:rPr>
        <w:t xml:space="preserve"> percentage points from 15% in 2008-09.</w:t>
      </w:r>
      <w:r w:rsidR="005C55A5">
        <w:rPr>
          <w:rFonts w:ascii="Times New Roman" w:hAnsi="Times New Roman"/>
          <w:color w:val="000000"/>
          <w:szCs w:val="19"/>
        </w:rPr>
        <w:t xml:space="preserve">  This is a recent historical high.</w:t>
      </w:r>
    </w:p>
    <w:p w14:paraId="7B10C36D"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Cs/>
          <w:color w:val="000000"/>
        </w:rPr>
      </w:pPr>
    </w:p>
    <w:p w14:paraId="7E51C73E" w14:textId="5BF33808" w:rsidR="006F4C26" w:rsidRDefault="006F4C2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•Women accounted for 26% of executive producers working on narrative features in 2016-17.  This represents an increase of 6 percentage points from 20% in 2015-16, and an increase of 7 percentage points from 19% in 2008-09.</w:t>
      </w:r>
    </w:p>
    <w:p w14:paraId="5A22C1D9" w14:textId="77777777" w:rsidR="00670023" w:rsidRDefault="00670023"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02737AB3" w14:textId="77777777" w:rsidR="00670023" w:rsidRPr="00995F45" w:rsidRDefault="00670023"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2255A2C4"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Figure 5.</w:t>
      </w:r>
    </w:p>
    <w:p w14:paraId="4A51FBD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r>
        <w:rPr>
          <w:rFonts w:ascii="Times New Roman" w:hAnsi="Times New Roman"/>
          <w:i/>
          <w:color w:val="000000"/>
        </w:rPr>
        <w:t>Historical Comparison of Percentages of Women Working on Narrative Features</w:t>
      </w:r>
    </w:p>
    <w:p w14:paraId="463646C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rPr>
      </w:pPr>
      <w:proofErr w:type="gramStart"/>
      <w:r>
        <w:rPr>
          <w:rFonts w:ascii="Times New Roman" w:hAnsi="Times New Roman"/>
          <w:i/>
          <w:color w:val="000000"/>
        </w:rPr>
        <w:t>by</w:t>
      </w:r>
      <w:proofErr w:type="gramEnd"/>
      <w:r>
        <w:rPr>
          <w:rFonts w:ascii="Times New Roman" w:hAnsi="Times New Roman"/>
          <w:i/>
          <w:color w:val="000000"/>
        </w:rPr>
        <w:t xml:space="preserve"> Role</w:t>
      </w:r>
    </w:p>
    <w:p w14:paraId="2B456568"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rPr>
      </w:pPr>
    </w:p>
    <w:p w14:paraId="205013F6" w14:textId="77777777" w:rsidR="006F4C26" w:rsidRDefault="006F4C2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noProof/>
        </w:rPr>
        <w:drawing>
          <wp:inline distT="0" distB="0" distL="0" distR="0" wp14:anchorId="795C96BE" wp14:editId="701001CA">
            <wp:extent cx="2514600" cy="4610100"/>
            <wp:effectExtent l="0" t="0" r="25400" b="1270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CB97F59" w14:textId="77777777" w:rsidR="0097367D" w:rsidRDefault="0097367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13573727" w14:textId="54CA85BB" w:rsidR="0097367D" w:rsidRDefault="0097367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•In 2016-17, women comprised 30% of producers working on narrative features.  This is even with the figure from 2015-16 but represents an increase of 2 percentage points from 28% in 2008-09.</w:t>
      </w:r>
    </w:p>
    <w:p w14:paraId="3B1A7B4A"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01F8A532" w14:textId="77777777" w:rsidR="00DF140D" w:rsidRDefault="006F4C2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•Women accounted for 22</w:t>
      </w:r>
      <w:r w:rsidR="00DF140D">
        <w:rPr>
          <w:rFonts w:ascii="Times New Roman" w:hAnsi="Times New Roman"/>
          <w:color w:val="000000"/>
          <w:szCs w:val="19"/>
        </w:rPr>
        <w:t xml:space="preserve">% of editors working on narrative features last year.  This </w:t>
      </w:r>
      <w:r>
        <w:rPr>
          <w:rFonts w:ascii="Times New Roman" w:hAnsi="Times New Roman"/>
          <w:color w:val="000000"/>
          <w:szCs w:val="19"/>
        </w:rPr>
        <w:t>represents an increase of 1 percentage point from 2015-16 and represents an increase of 3</w:t>
      </w:r>
      <w:r w:rsidR="00DF140D">
        <w:rPr>
          <w:rFonts w:ascii="Times New Roman" w:hAnsi="Times New Roman"/>
          <w:color w:val="000000"/>
          <w:szCs w:val="19"/>
        </w:rPr>
        <w:t xml:space="preserve"> percentage points from 19% in 2008-09.</w:t>
      </w:r>
    </w:p>
    <w:p w14:paraId="3AE6247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78792DC6" w14:textId="77777777" w:rsidR="0097367D" w:rsidRDefault="0097367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2A10BC26" w14:textId="34B827EC" w:rsidR="00DF140D" w:rsidRDefault="006F4C26"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•Women comprised 10</w:t>
      </w:r>
      <w:r w:rsidR="00DF140D">
        <w:rPr>
          <w:rFonts w:ascii="Times New Roman" w:hAnsi="Times New Roman"/>
          <w:color w:val="000000"/>
          <w:szCs w:val="19"/>
        </w:rPr>
        <w:t>% of cinematographers worki</w:t>
      </w:r>
      <w:r>
        <w:rPr>
          <w:rFonts w:ascii="Times New Roman" w:hAnsi="Times New Roman"/>
          <w:color w:val="000000"/>
          <w:szCs w:val="19"/>
        </w:rPr>
        <w:t>ng on narrative features in 2016-17</w:t>
      </w:r>
      <w:r w:rsidR="00DF140D">
        <w:rPr>
          <w:rFonts w:ascii="Times New Roman" w:hAnsi="Times New Roman"/>
          <w:color w:val="000000"/>
          <w:szCs w:val="19"/>
        </w:rPr>
        <w:t xml:space="preserve">.  This represents an </w:t>
      </w:r>
      <w:r>
        <w:rPr>
          <w:rFonts w:ascii="Times New Roman" w:hAnsi="Times New Roman"/>
          <w:color w:val="000000"/>
          <w:szCs w:val="19"/>
        </w:rPr>
        <w:t>increase of 1 percentage point from 9</w:t>
      </w:r>
      <w:r w:rsidR="00DF140D">
        <w:rPr>
          <w:rFonts w:ascii="Times New Roman" w:hAnsi="Times New Roman"/>
          <w:color w:val="000000"/>
          <w:szCs w:val="19"/>
        </w:rPr>
        <w:t xml:space="preserve">% </w:t>
      </w:r>
      <w:r w:rsidR="0097367D">
        <w:rPr>
          <w:rFonts w:ascii="Times New Roman" w:hAnsi="Times New Roman"/>
          <w:color w:val="000000"/>
          <w:szCs w:val="19"/>
        </w:rPr>
        <w:t>in 2015-16</w:t>
      </w:r>
      <w:r>
        <w:rPr>
          <w:rFonts w:ascii="Times New Roman" w:hAnsi="Times New Roman"/>
          <w:color w:val="000000"/>
          <w:szCs w:val="19"/>
        </w:rPr>
        <w:t>, and an increase of 4</w:t>
      </w:r>
      <w:r w:rsidR="00DF140D">
        <w:rPr>
          <w:rFonts w:ascii="Times New Roman" w:hAnsi="Times New Roman"/>
          <w:color w:val="000000"/>
          <w:szCs w:val="19"/>
        </w:rPr>
        <w:t xml:space="preserve"> percentage points from 6% in 2008-09.</w:t>
      </w:r>
      <w:r w:rsidR="0097367D">
        <w:rPr>
          <w:rFonts w:ascii="Times New Roman" w:hAnsi="Times New Roman"/>
          <w:color w:val="000000"/>
          <w:szCs w:val="19"/>
        </w:rPr>
        <w:t xml:space="preserve">  This is a recent historical high.</w:t>
      </w:r>
    </w:p>
    <w:p w14:paraId="08977034" w14:textId="77777777" w:rsidR="0097367D" w:rsidRDefault="0097367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17E068F2" w14:textId="5C8E8194" w:rsidR="0097367D" w:rsidRDefault="0097367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•Women comprised 11% of composers working on narrative features.  This represents an increase of 3 percentage points from 8% in 2014-15.</w:t>
      </w:r>
    </w:p>
    <w:p w14:paraId="5F0ED804"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78205F7" w14:textId="77777777" w:rsidR="00DF140D" w:rsidRPr="00FF5D0E"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szCs w:val="19"/>
        </w:rPr>
      </w:pPr>
      <w:r w:rsidRPr="00FF5D0E">
        <w:rPr>
          <w:rFonts w:ascii="Times New Roman" w:hAnsi="Times New Roman"/>
          <w:b/>
          <w:i/>
          <w:color w:val="1F497D" w:themeColor="text2"/>
          <w:szCs w:val="19"/>
        </w:rPr>
        <w:t>Important Relationships</w:t>
      </w:r>
    </w:p>
    <w:p w14:paraId="322BBFE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36CEAD6"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 xml:space="preserve">•Films with at least </w:t>
      </w:r>
      <w:proofErr w:type="gramStart"/>
      <w:r>
        <w:rPr>
          <w:rFonts w:ascii="Times New Roman" w:hAnsi="Times New Roman"/>
          <w:color w:val="000000"/>
          <w:szCs w:val="19"/>
        </w:rPr>
        <w:t>one woman</w:t>
      </w:r>
      <w:proofErr w:type="gramEnd"/>
      <w:r>
        <w:rPr>
          <w:rFonts w:ascii="Times New Roman" w:hAnsi="Times New Roman"/>
          <w:color w:val="000000"/>
          <w:szCs w:val="19"/>
        </w:rPr>
        <w:t xml:space="preserve"> director had higher percentages of women writers, editors, and cinematographers than films with exclusively male directors (see Figure 6).</w:t>
      </w:r>
    </w:p>
    <w:p w14:paraId="1479F44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259C134B" w14:textId="4E3E4E78"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 xml:space="preserve">•On films with at least </w:t>
      </w:r>
      <w:proofErr w:type="gramStart"/>
      <w:r>
        <w:rPr>
          <w:rFonts w:ascii="Times New Roman" w:hAnsi="Times New Roman"/>
          <w:color w:val="000000"/>
          <w:szCs w:val="19"/>
        </w:rPr>
        <w:t>one woman</w:t>
      </w:r>
      <w:proofErr w:type="gramEnd"/>
      <w:r>
        <w:rPr>
          <w:rFonts w:ascii="Times New Roman" w:hAnsi="Times New Roman"/>
          <w:color w:val="000000"/>
          <w:szCs w:val="19"/>
        </w:rPr>
        <w:t xml:space="preserve"> director, women </w:t>
      </w:r>
      <w:r w:rsidR="0097367D">
        <w:rPr>
          <w:rFonts w:ascii="Times New Roman" w:hAnsi="Times New Roman"/>
          <w:color w:val="000000"/>
          <w:szCs w:val="19"/>
        </w:rPr>
        <w:t>comprised</w:t>
      </w:r>
      <w:r>
        <w:rPr>
          <w:rFonts w:ascii="Times New Roman" w:hAnsi="Times New Roman"/>
          <w:color w:val="000000"/>
          <w:szCs w:val="19"/>
        </w:rPr>
        <w:t xml:space="preserve"> 74% of writers.  On films with exclusively male </w:t>
      </w:r>
      <w:r w:rsidR="004752A8">
        <w:rPr>
          <w:rFonts w:ascii="Times New Roman" w:hAnsi="Times New Roman"/>
          <w:color w:val="000000"/>
          <w:szCs w:val="19"/>
        </w:rPr>
        <w:t>directors, women accounted for 7</w:t>
      </w:r>
      <w:r>
        <w:rPr>
          <w:rFonts w:ascii="Times New Roman" w:hAnsi="Times New Roman"/>
          <w:color w:val="000000"/>
          <w:szCs w:val="19"/>
        </w:rPr>
        <w:t xml:space="preserve">% of writers.  </w:t>
      </w:r>
    </w:p>
    <w:p w14:paraId="6F9CE821"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7182298E"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 xml:space="preserve">•On films with at least </w:t>
      </w:r>
      <w:proofErr w:type="gramStart"/>
      <w:r>
        <w:rPr>
          <w:rFonts w:ascii="Times New Roman" w:hAnsi="Times New Roman"/>
          <w:color w:val="000000"/>
          <w:szCs w:val="19"/>
        </w:rPr>
        <w:t>one woman</w:t>
      </w:r>
      <w:proofErr w:type="gramEnd"/>
      <w:r>
        <w:rPr>
          <w:rFonts w:ascii="Times New Roman" w:hAnsi="Times New Roman"/>
          <w:color w:val="000000"/>
          <w:szCs w:val="19"/>
        </w:rPr>
        <w:t xml:space="preserve"> dir</w:t>
      </w:r>
      <w:r w:rsidR="004752A8">
        <w:rPr>
          <w:rFonts w:ascii="Times New Roman" w:hAnsi="Times New Roman"/>
          <w:color w:val="000000"/>
          <w:szCs w:val="19"/>
        </w:rPr>
        <w:t>ector, women comprised 36</w:t>
      </w:r>
      <w:r>
        <w:rPr>
          <w:rFonts w:ascii="Times New Roman" w:hAnsi="Times New Roman"/>
          <w:color w:val="000000"/>
          <w:szCs w:val="19"/>
        </w:rPr>
        <w:t>% of editors.  On films with exclusively male d</w:t>
      </w:r>
      <w:r w:rsidR="004752A8">
        <w:rPr>
          <w:rFonts w:ascii="Times New Roman" w:hAnsi="Times New Roman"/>
          <w:color w:val="000000"/>
          <w:szCs w:val="19"/>
        </w:rPr>
        <w:t>irectors, women accounted for 17</w:t>
      </w:r>
      <w:r>
        <w:rPr>
          <w:rFonts w:ascii="Times New Roman" w:hAnsi="Times New Roman"/>
          <w:color w:val="000000"/>
          <w:szCs w:val="19"/>
        </w:rPr>
        <w:t>% of editors.</w:t>
      </w:r>
    </w:p>
    <w:p w14:paraId="29811842"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88C7690" w14:textId="77777777" w:rsidR="004752A8" w:rsidRDefault="00DF140D" w:rsidP="004752A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rFonts w:ascii="Times New Roman" w:hAnsi="Times New Roman"/>
          <w:color w:val="000000"/>
          <w:szCs w:val="19"/>
        </w:rPr>
        <w:t xml:space="preserve">•On films with at least </w:t>
      </w:r>
      <w:proofErr w:type="gramStart"/>
      <w:r>
        <w:rPr>
          <w:rFonts w:ascii="Times New Roman" w:hAnsi="Times New Roman"/>
          <w:color w:val="000000"/>
          <w:szCs w:val="19"/>
        </w:rPr>
        <w:t>one wo</w:t>
      </w:r>
      <w:r w:rsidR="004752A8">
        <w:rPr>
          <w:rFonts w:ascii="Times New Roman" w:hAnsi="Times New Roman"/>
          <w:color w:val="000000"/>
          <w:szCs w:val="19"/>
        </w:rPr>
        <w:t>man</w:t>
      </w:r>
      <w:proofErr w:type="gramEnd"/>
      <w:r w:rsidR="004752A8">
        <w:rPr>
          <w:rFonts w:ascii="Times New Roman" w:hAnsi="Times New Roman"/>
          <w:color w:val="000000"/>
          <w:szCs w:val="19"/>
        </w:rPr>
        <w:t xml:space="preserve"> director, women comprised 23</w:t>
      </w:r>
      <w:r>
        <w:rPr>
          <w:rFonts w:ascii="Times New Roman" w:hAnsi="Times New Roman"/>
          <w:color w:val="000000"/>
          <w:szCs w:val="19"/>
        </w:rPr>
        <w:t>% of cinematographers.  On films with</w:t>
      </w:r>
      <w:r w:rsidR="004752A8">
        <w:rPr>
          <w:rFonts w:ascii="Times New Roman" w:hAnsi="Times New Roman"/>
          <w:color w:val="000000"/>
          <w:szCs w:val="19"/>
        </w:rPr>
        <w:t xml:space="preserve"> exclusively male directors, women accounted for 6% of cinematographers.</w:t>
      </w:r>
    </w:p>
    <w:p w14:paraId="1FAD634F"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59C77DE0"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p>
    <w:p w14:paraId="5534F2B5"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p>
    <w:p w14:paraId="6B4FFF04"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p>
    <w:p w14:paraId="76F7208E"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p>
    <w:p w14:paraId="01A8DB34"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p>
    <w:p w14:paraId="693137D4" w14:textId="77777777" w:rsidR="004752A8" w:rsidRDefault="004752A8" w:rsidP="009736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Cs w:val="19"/>
        </w:rPr>
      </w:pPr>
    </w:p>
    <w:p w14:paraId="475541C3" w14:textId="77777777" w:rsidR="0097367D" w:rsidRDefault="0097367D" w:rsidP="0097367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i/>
          <w:color w:val="000000"/>
          <w:szCs w:val="19"/>
        </w:rPr>
      </w:pPr>
    </w:p>
    <w:p w14:paraId="2037AC11" w14:textId="77777777" w:rsidR="00DF140D" w:rsidRPr="00E33664"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r>
        <w:rPr>
          <w:rFonts w:ascii="Times New Roman" w:hAnsi="Times New Roman"/>
          <w:i/>
          <w:color w:val="000000"/>
          <w:szCs w:val="19"/>
        </w:rPr>
        <w:t>Figure 6</w:t>
      </w:r>
      <w:r w:rsidRPr="00E33664">
        <w:rPr>
          <w:rFonts w:ascii="Times New Roman" w:hAnsi="Times New Roman"/>
          <w:i/>
          <w:color w:val="000000"/>
          <w:szCs w:val="19"/>
        </w:rPr>
        <w:t>.</w:t>
      </w:r>
    </w:p>
    <w:p w14:paraId="12D0B8CF" w14:textId="77777777" w:rsidR="00DF140D" w:rsidRPr="00E33664"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center"/>
        <w:rPr>
          <w:rFonts w:ascii="Times New Roman" w:hAnsi="Times New Roman"/>
          <w:i/>
          <w:color w:val="000000"/>
          <w:szCs w:val="19"/>
        </w:rPr>
      </w:pPr>
      <w:r w:rsidRPr="00E33664">
        <w:rPr>
          <w:rFonts w:ascii="Times New Roman" w:hAnsi="Times New Roman"/>
          <w:i/>
          <w:color w:val="000000"/>
          <w:szCs w:val="19"/>
        </w:rPr>
        <w:t xml:space="preserve">Comparison of Employment of Behind-the-Scenes Women on Films with At Least One Women Director </w:t>
      </w:r>
      <w:r>
        <w:rPr>
          <w:rFonts w:ascii="Times New Roman" w:hAnsi="Times New Roman"/>
          <w:i/>
          <w:color w:val="000000"/>
          <w:szCs w:val="19"/>
        </w:rPr>
        <w:t>vs.</w:t>
      </w:r>
      <w:r w:rsidRPr="00E33664">
        <w:rPr>
          <w:rFonts w:ascii="Times New Roman" w:hAnsi="Times New Roman"/>
          <w:i/>
          <w:color w:val="000000"/>
          <w:szCs w:val="19"/>
        </w:rPr>
        <w:t xml:space="preserve"> Films with Exclusively Male Directors</w:t>
      </w:r>
    </w:p>
    <w:p w14:paraId="6C4E8C40"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1C677627" w14:textId="77777777" w:rsidR="00DF140D"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r>
        <w:rPr>
          <w:noProof/>
        </w:rPr>
        <w:drawing>
          <wp:inline distT="0" distB="0" distL="0" distR="0" wp14:anchorId="31218B82" wp14:editId="75F43C4A">
            <wp:extent cx="2743200" cy="3454400"/>
            <wp:effectExtent l="0" t="0" r="25400" b="2540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82C763B" w14:textId="77777777" w:rsidR="004752A8" w:rsidRDefault="004752A8"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6CC09AE2" w14:textId="77777777" w:rsidR="00DF140D" w:rsidRPr="00FF5D0E"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b/>
          <w:i/>
          <w:color w:val="1F497D" w:themeColor="text2"/>
          <w:szCs w:val="19"/>
        </w:rPr>
      </w:pPr>
      <w:r w:rsidRPr="00FF5D0E">
        <w:rPr>
          <w:rFonts w:ascii="Times New Roman" w:hAnsi="Times New Roman"/>
          <w:b/>
          <w:i/>
          <w:color w:val="1F497D" w:themeColor="text2"/>
          <w:szCs w:val="19"/>
        </w:rPr>
        <w:t>About the Center</w:t>
      </w:r>
    </w:p>
    <w:p w14:paraId="3402CE0F" w14:textId="7777777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pPr>
    </w:p>
    <w:p w14:paraId="709740EE" w14:textId="3D3F59F7" w:rsidR="00DF140D"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olor w:val="000000"/>
          <w:szCs w:val="19"/>
        </w:rPr>
        <w:sectPr w:rsidR="00DF140D"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num="2" w:space="720"/>
        </w:sectPr>
      </w:pPr>
      <w:r>
        <w:rPr>
          <w:rFonts w:ascii="Times New Roman" w:hAnsi="Times New Roman"/>
          <w:color w:val="000000"/>
          <w:szCs w:val="19"/>
        </w:rPr>
        <w:t xml:space="preserve">The </w:t>
      </w:r>
      <w:r w:rsidRPr="001876F8">
        <w:rPr>
          <w:rFonts w:ascii="Times New Roman" w:hAnsi="Times New Roman"/>
          <w:i/>
          <w:color w:val="000000"/>
          <w:szCs w:val="19"/>
        </w:rPr>
        <w:t>Center for the Study of Women in Television and Film</w:t>
      </w:r>
      <w:r>
        <w:rPr>
          <w:rFonts w:ascii="Times New Roman" w:hAnsi="Times New Roman"/>
          <w:color w:val="000000"/>
          <w:szCs w:val="19"/>
        </w:rPr>
        <w:t xml:space="preserve"> at San Diego State University is home to the longest running and most comprehensive studies of women’s behind-the-scenes employment and </w:t>
      </w:r>
      <w:r w:rsidR="00455E75">
        <w:rPr>
          <w:rFonts w:ascii="Times New Roman" w:hAnsi="Times New Roman"/>
          <w:color w:val="000000"/>
          <w:szCs w:val="19"/>
        </w:rPr>
        <w:tab/>
        <w:t xml:space="preserve">on-screen </w:t>
      </w:r>
      <w:r>
        <w:rPr>
          <w:rFonts w:ascii="Times New Roman" w:hAnsi="Times New Roman"/>
          <w:color w:val="000000"/>
          <w:szCs w:val="19"/>
        </w:rPr>
        <w:t xml:space="preserve">portrayals in </w:t>
      </w:r>
      <w:r w:rsidR="00455E75">
        <w:rPr>
          <w:rFonts w:ascii="Times New Roman" w:hAnsi="Times New Roman"/>
          <w:color w:val="000000"/>
          <w:szCs w:val="19"/>
        </w:rPr>
        <w:t>film and television</w:t>
      </w:r>
      <w:r>
        <w:rPr>
          <w:rFonts w:ascii="Times New Roman" w:hAnsi="Times New Roman"/>
          <w:color w:val="000000"/>
          <w:szCs w:val="19"/>
        </w:rPr>
        <w:t>.  Dedicated to producing the most up-to-date research available on women in film and television, studies generated by the Center provide the foundation for a realistic discussion of women’s employment and representation.  For more information, v</w:t>
      </w:r>
      <w:r w:rsidR="00670023">
        <w:rPr>
          <w:rFonts w:ascii="Times New Roman" w:hAnsi="Times New Roman"/>
          <w:color w:val="000000"/>
          <w:szCs w:val="19"/>
        </w:rPr>
        <w:t>isit the Center’s website</w:t>
      </w:r>
      <w:proofErr w:type="gramStart"/>
      <w:r w:rsidR="00670023">
        <w:rPr>
          <w:rFonts w:ascii="Times New Roman" w:hAnsi="Times New Roman"/>
          <w:color w:val="000000"/>
          <w:szCs w:val="19"/>
        </w:rPr>
        <w:t xml:space="preserve">, </w:t>
      </w:r>
      <w:r>
        <w:rPr>
          <w:rFonts w:ascii="Times New Roman" w:hAnsi="Times New Roman"/>
          <w:color w:val="000000"/>
          <w:szCs w:val="19"/>
        </w:rPr>
        <w:t xml:space="preserve"> </w:t>
      </w:r>
      <w:proofErr w:type="gramEnd"/>
      <w:hyperlink r:id="rId17" w:history="1">
        <w:r w:rsidRPr="00D8701B">
          <w:rPr>
            <w:rStyle w:val="Hyperlink"/>
            <w:rFonts w:ascii="Times New Roman" w:hAnsi="Times New Roman"/>
            <w:szCs w:val="19"/>
          </w:rPr>
          <w:t>http://womenintvfilm.sdsu.edu</w:t>
        </w:r>
      </w:hyperlink>
      <w:r>
        <w:rPr>
          <w:rFonts w:ascii="Times New Roman" w:hAnsi="Times New Roman"/>
          <w:color w:val="000000"/>
          <w:szCs w:val="19"/>
        </w:rPr>
        <w:t xml:space="preserve"> or contact Dr</w:t>
      </w:r>
      <w:r w:rsidR="00196046">
        <w:rPr>
          <w:rFonts w:ascii="Times New Roman" w:hAnsi="Times New Roman"/>
          <w:color w:val="000000"/>
          <w:szCs w:val="19"/>
        </w:rPr>
        <w:t xml:space="preserve">. </w:t>
      </w:r>
      <w:proofErr w:type="spellStart"/>
      <w:r w:rsidR="00196046">
        <w:rPr>
          <w:rFonts w:ascii="Times New Roman" w:hAnsi="Times New Roman"/>
          <w:color w:val="000000"/>
          <w:szCs w:val="19"/>
        </w:rPr>
        <w:t>Lauzen</w:t>
      </w:r>
      <w:proofErr w:type="spellEnd"/>
      <w:r w:rsidR="00196046">
        <w:rPr>
          <w:rFonts w:ascii="Times New Roman" w:hAnsi="Times New Roman"/>
          <w:color w:val="000000"/>
          <w:szCs w:val="19"/>
        </w:rPr>
        <w:t xml:space="preserve"> at lauzen@mail.sdsu.edu.</w:t>
      </w:r>
    </w:p>
    <w:p w14:paraId="75A2D382" w14:textId="77777777" w:rsidR="00DF140D" w:rsidRPr="00260F78" w:rsidRDefault="00DF140D" w:rsidP="00DF1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heme="minorHAnsi" w:hAnsiTheme="minorHAnsi"/>
          <w:color w:val="000000"/>
          <w:sz w:val="48"/>
          <w:szCs w:val="48"/>
        </w:rPr>
        <w:sectPr w:rsidR="00DF140D" w:rsidRPr="00260F78"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space="720"/>
        </w:sectPr>
      </w:pPr>
    </w:p>
    <w:p w14:paraId="45BB75C4" w14:textId="77777777" w:rsidR="00BA2D71" w:rsidRDefault="00BA2D71"/>
    <w:sectPr w:rsidR="00BA2D71" w:rsidSect="00DF140D">
      <w:type w:val="continuous"/>
      <w:pgSz w:w="12240" w:h="15840"/>
      <w:pgMar w:top="1440" w:right="1800" w:bottom="1440" w:left="1800" w:header="720" w:footer="720" w:gutter="0"/>
      <w:pgBorders>
        <w:top w:val="doubleWave" w:sz="6" w:space="1" w:color="17365D" w:themeColor="text2" w:themeShade="BF"/>
        <w:bottom w:val="threeDEngrave" w:sz="24" w:space="1" w:color="17365D" w:themeColor="text2" w:themeShade="BF"/>
      </w:pgBorders>
      <w:cols w:num="2"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C103B" w14:textId="77777777" w:rsidR="00590412" w:rsidRDefault="00590412" w:rsidP="00DF14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E79786" w14:textId="77777777" w:rsidR="00590412" w:rsidRDefault="00590412" w:rsidP="00DF140D">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4945C" w14:textId="77777777" w:rsidR="00590412" w:rsidRDefault="00590412" w:rsidP="00DF14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61DAD">
      <w:rPr>
        <w:rStyle w:val="PageNumber"/>
        <w:noProof/>
      </w:rPr>
      <w:t>2</w:t>
    </w:r>
    <w:r>
      <w:rPr>
        <w:rStyle w:val="PageNumber"/>
      </w:rPr>
      <w:fldChar w:fldCharType="end"/>
    </w:r>
  </w:p>
  <w:p w14:paraId="3AEC7E31" w14:textId="77777777" w:rsidR="00590412" w:rsidRPr="00281E4D" w:rsidRDefault="00590412" w:rsidP="00DF140D">
    <w:pPr>
      <w:pStyle w:val="Footer"/>
      <w:ind w:right="360"/>
      <w:rPr>
        <w:color w:val="365F91" w:themeColor="accent1" w:themeShade="BF"/>
      </w:rPr>
    </w:pPr>
    <w:r w:rsidRPr="00281E4D">
      <w:rPr>
        <w:color w:val="365F91" w:themeColor="accent1" w:themeShade="BF"/>
      </w:rPr>
      <w:t>Center for the Study of Women in Television and Film</w:t>
    </w:r>
    <w:r w:rsidRPr="00281E4D">
      <w:rPr>
        <w:color w:val="365F91" w:themeColor="accent1" w:themeShade="BF"/>
      </w:rPr>
      <w:tab/>
    </w:r>
    <w:r w:rsidRPr="00281E4D">
      <w:rPr>
        <w:i/>
        <w:color w:val="365F91" w:themeColor="accent1" w:themeShade="BF"/>
      </w:rPr>
      <w:tab/>
    </w: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7B6C31" w14:textId="77777777" w:rsidR="00590412" w:rsidRDefault="00590412" w:rsidP="00DF140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0023">
      <w:rPr>
        <w:rStyle w:val="PageNumber"/>
        <w:noProof/>
      </w:rPr>
      <w:t>6</w:t>
    </w:r>
    <w:r>
      <w:rPr>
        <w:rStyle w:val="PageNumber"/>
      </w:rPr>
      <w:fldChar w:fldCharType="end"/>
    </w:r>
  </w:p>
  <w:p w14:paraId="12F2841F" w14:textId="77777777" w:rsidR="00590412" w:rsidRDefault="00590412" w:rsidP="00DF140D">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FECDD6" w14:textId="77777777" w:rsidR="00590412" w:rsidRDefault="00590412" w:rsidP="00DF140D">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40D"/>
    <w:rsid w:val="00061DAD"/>
    <w:rsid w:val="0009686E"/>
    <w:rsid w:val="00196046"/>
    <w:rsid w:val="001C5DD0"/>
    <w:rsid w:val="00382232"/>
    <w:rsid w:val="00407607"/>
    <w:rsid w:val="00455E75"/>
    <w:rsid w:val="004752A8"/>
    <w:rsid w:val="004C77C4"/>
    <w:rsid w:val="00590412"/>
    <w:rsid w:val="005C55A5"/>
    <w:rsid w:val="0065656E"/>
    <w:rsid w:val="00670023"/>
    <w:rsid w:val="006B5F5D"/>
    <w:rsid w:val="006F43D1"/>
    <w:rsid w:val="006F4C26"/>
    <w:rsid w:val="007A3DA5"/>
    <w:rsid w:val="00823443"/>
    <w:rsid w:val="009312D1"/>
    <w:rsid w:val="00952140"/>
    <w:rsid w:val="0097367D"/>
    <w:rsid w:val="00B9368B"/>
    <w:rsid w:val="00BA2D71"/>
    <w:rsid w:val="00DF140D"/>
    <w:rsid w:val="00F1166A"/>
    <w:rsid w:val="00F73DF7"/>
    <w:rsid w:val="00FC062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7A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40D"/>
    <w:rPr>
      <w:rFonts w:ascii="Cambria" w:eastAsia="Cambria" w:hAnsi="Cambria"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140D"/>
    <w:pPr>
      <w:tabs>
        <w:tab w:val="center" w:pos="4320"/>
        <w:tab w:val="right" w:pos="8640"/>
      </w:tabs>
      <w:spacing w:after="0"/>
    </w:pPr>
  </w:style>
  <w:style w:type="character" w:customStyle="1" w:styleId="HeaderChar">
    <w:name w:val="Header Char"/>
    <w:basedOn w:val="DefaultParagraphFont"/>
    <w:link w:val="Header"/>
    <w:uiPriority w:val="99"/>
    <w:rsid w:val="00DF140D"/>
    <w:rPr>
      <w:rFonts w:ascii="Cambria" w:eastAsia="Cambria" w:hAnsi="Cambria" w:cs="Times New Roman"/>
      <w:lang w:eastAsia="en-US"/>
    </w:rPr>
  </w:style>
  <w:style w:type="paragraph" w:styleId="Footer">
    <w:name w:val="footer"/>
    <w:basedOn w:val="Normal"/>
    <w:link w:val="FooterChar"/>
    <w:uiPriority w:val="99"/>
    <w:unhideWhenUsed/>
    <w:rsid w:val="00DF140D"/>
    <w:pPr>
      <w:tabs>
        <w:tab w:val="center" w:pos="4320"/>
        <w:tab w:val="right" w:pos="8640"/>
      </w:tabs>
      <w:spacing w:after="0"/>
    </w:pPr>
  </w:style>
  <w:style w:type="character" w:customStyle="1" w:styleId="FooterChar">
    <w:name w:val="Footer Char"/>
    <w:basedOn w:val="DefaultParagraphFont"/>
    <w:link w:val="Footer"/>
    <w:uiPriority w:val="99"/>
    <w:rsid w:val="00DF140D"/>
    <w:rPr>
      <w:rFonts w:ascii="Cambria" w:eastAsia="Cambria" w:hAnsi="Cambria" w:cs="Times New Roman"/>
      <w:lang w:eastAsia="en-US"/>
    </w:rPr>
  </w:style>
  <w:style w:type="character" w:styleId="PageNumber">
    <w:name w:val="page number"/>
    <w:basedOn w:val="DefaultParagraphFont"/>
    <w:uiPriority w:val="99"/>
    <w:semiHidden/>
    <w:unhideWhenUsed/>
    <w:rsid w:val="00DF140D"/>
  </w:style>
  <w:style w:type="character" w:styleId="Hyperlink">
    <w:name w:val="Hyperlink"/>
    <w:basedOn w:val="DefaultParagraphFont"/>
    <w:uiPriority w:val="99"/>
    <w:unhideWhenUsed/>
    <w:rsid w:val="00DF140D"/>
    <w:rPr>
      <w:color w:val="0000FF" w:themeColor="hyperlink"/>
      <w:u w:val="single"/>
    </w:rPr>
  </w:style>
  <w:style w:type="paragraph" w:styleId="BalloonText">
    <w:name w:val="Balloon Text"/>
    <w:basedOn w:val="Normal"/>
    <w:link w:val="BalloonTextChar"/>
    <w:uiPriority w:val="99"/>
    <w:semiHidden/>
    <w:unhideWhenUsed/>
    <w:rsid w:val="00DF140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F140D"/>
    <w:rPr>
      <w:rFonts w:ascii="Lucida Grande" w:eastAsia="Cambria" w:hAnsi="Lucida Grande" w:cs="Lucida Grande"/>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40D"/>
    <w:rPr>
      <w:rFonts w:ascii="Cambria" w:eastAsia="Cambria" w:hAnsi="Cambria"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140D"/>
    <w:pPr>
      <w:tabs>
        <w:tab w:val="center" w:pos="4320"/>
        <w:tab w:val="right" w:pos="8640"/>
      </w:tabs>
      <w:spacing w:after="0"/>
    </w:pPr>
  </w:style>
  <w:style w:type="character" w:customStyle="1" w:styleId="HeaderChar">
    <w:name w:val="Header Char"/>
    <w:basedOn w:val="DefaultParagraphFont"/>
    <w:link w:val="Header"/>
    <w:uiPriority w:val="99"/>
    <w:rsid w:val="00DF140D"/>
    <w:rPr>
      <w:rFonts w:ascii="Cambria" w:eastAsia="Cambria" w:hAnsi="Cambria" w:cs="Times New Roman"/>
      <w:lang w:eastAsia="en-US"/>
    </w:rPr>
  </w:style>
  <w:style w:type="paragraph" w:styleId="Footer">
    <w:name w:val="footer"/>
    <w:basedOn w:val="Normal"/>
    <w:link w:val="FooterChar"/>
    <w:uiPriority w:val="99"/>
    <w:unhideWhenUsed/>
    <w:rsid w:val="00DF140D"/>
    <w:pPr>
      <w:tabs>
        <w:tab w:val="center" w:pos="4320"/>
        <w:tab w:val="right" w:pos="8640"/>
      </w:tabs>
      <w:spacing w:after="0"/>
    </w:pPr>
  </w:style>
  <w:style w:type="character" w:customStyle="1" w:styleId="FooterChar">
    <w:name w:val="Footer Char"/>
    <w:basedOn w:val="DefaultParagraphFont"/>
    <w:link w:val="Footer"/>
    <w:uiPriority w:val="99"/>
    <w:rsid w:val="00DF140D"/>
    <w:rPr>
      <w:rFonts w:ascii="Cambria" w:eastAsia="Cambria" w:hAnsi="Cambria" w:cs="Times New Roman"/>
      <w:lang w:eastAsia="en-US"/>
    </w:rPr>
  </w:style>
  <w:style w:type="character" w:styleId="PageNumber">
    <w:name w:val="page number"/>
    <w:basedOn w:val="DefaultParagraphFont"/>
    <w:uiPriority w:val="99"/>
    <w:semiHidden/>
    <w:unhideWhenUsed/>
    <w:rsid w:val="00DF140D"/>
  </w:style>
  <w:style w:type="character" w:styleId="Hyperlink">
    <w:name w:val="Hyperlink"/>
    <w:basedOn w:val="DefaultParagraphFont"/>
    <w:uiPriority w:val="99"/>
    <w:unhideWhenUsed/>
    <w:rsid w:val="00DF140D"/>
    <w:rPr>
      <w:color w:val="0000FF" w:themeColor="hyperlink"/>
      <w:u w:val="single"/>
    </w:rPr>
  </w:style>
  <w:style w:type="paragraph" w:styleId="BalloonText">
    <w:name w:val="Balloon Text"/>
    <w:basedOn w:val="Normal"/>
    <w:link w:val="BalloonTextChar"/>
    <w:uiPriority w:val="99"/>
    <w:semiHidden/>
    <w:unhideWhenUsed/>
    <w:rsid w:val="00DF140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F140D"/>
    <w:rPr>
      <w:rFonts w:ascii="Lucida Grande" w:eastAsia="Cambria" w:hAnsi="Lucida Grande" w:cs="Lucida Grande"/>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chart" Target="charts/chart2.xml"/><Relationship Id="rId12" Type="http://schemas.openxmlformats.org/officeDocument/2006/relationships/chart" Target="charts/chart3.xml"/><Relationship Id="rId13" Type="http://schemas.openxmlformats.org/officeDocument/2006/relationships/chart" Target="charts/chart4.xml"/><Relationship Id="rId14" Type="http://schemas.openxmlformats.org/officeDocument/2006/relationships/chart" Target="charts/chart5.xml"/><Relationship Id="rId15" Type="http://schemas.openxmlformats.org/officeDocument/2006/relationships/chart" Target="charts/chart6.xml"/><Relationship Id="rId16" Type="http://schemas.openxmlformats.org/officeDocument/2006/relationships/chart" Target="charts/chart7.xml"/><Relationship Id="rId17" Type="http://schemas.openxmlformats.org/officeDocument/2006/relationships/hyperlink" Target="http://womenintvfilm.sdsu.edu" TargetMode="Externa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Macintosh%20HD:Users:martha:Documents:2015-16%20Independent%20Women%20Char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doughnutChart>
        <c:varyColors val="1"/>
        <c:ser>
          <c:idx val="0"/>
          <c:order val="0"/>
          <c:tx>
            <c:strRef>
              <c:f>Sheet6!$A$2</c:f>
              <c:strCache>
                <c:ptCount val="1"/>
                <c:pt idx="0">
                  <c:v>Narrative Features</c:v>
                </c:pt>
              </c:strCache>
            </c:strRef>
          </c:tx>
          <c:spPr>
            <a:ln>
              <a:solidFill>
                <a:schemeClr val="accent4"/>
              </a:solidFill>
            </a:ln>
            <a:effectLst/>
          </c:spPr>
          <c:explosion val="25"/>
          <c:dPt>
            <c:idx val="0"/>
            <c:bubble3D val="0"/>
            <c:spPr>
              <a:solidFill>
                <a:schemeClr val="accent4"/>
              </a:solidFill>
              <a:ln>
                <a:solidFill>
                  <a:schemeClr val="accent4"/>
                </a:solidFill>
              </a:ln>
              <a:effectLst/>
            </c:spPr>
          </c:dPt>
          <c:dPt>
            <c:idx val="1"/>
            <c:bubble3D val="0"/>
            <c:spPr>
              <a:solidFill>
                <a:schemeClr val="accent3"/>
              </a:solidFill>
              <a:ln>
                <a:solidFill>
                  <a:schemeClr val="accent3"/>
                </a:solidFill>
              </a:ln>
              <a:effectLst/>
            </c:spPr>
          </c:dPt>
          <c:dLbls>
            <c:dLbl>
              <c:idx val="0"/>
              <c:layout/>
              <c:showLegendKey val="0"/>
              <c:showVal val="1"/>
              <c:showCatName val="0"/>
              <c:showSerName val="0"/>
              <c:showPercent val="0"/>
              <c:showBubbleSize val="0"/>
            </c:dLbl>
            <c:dLbl>
              <c:idx val="1"/>
              <c:layout/>
              <c:showLegendKey val="0"/>
              <c:showVal val="1"/>
              <c:showCatName val="0"/>
              <c:showSerName val="0"/>
              <c:showPercent val="0"/>
              <c:showBubbleSize val="0"/>
            </c:dLbl>
            <c:showLegendKey val="0"/>
            <c:showVal val="0"/>
            <c:showCatName val="0"/>
            <c:showSerName val="0"/>
            <c:showPercent val="0"/>
            <c:showBubbleSize val="0"/>
          </c:dLbls>
          <c:cat>
            <c:strRef>
              <c:f>Sheet6!$B$1:$C$1</c:f>
              <c:strCache>
                <c:ptCount val="2"/>
                <c:pt idx="0">
                  <c:v>Male Directors</c:v>
                </c:pt>
                <c:pt idx="1">
                  <c:v>Female Directors</c:v>
                </c:pt>
              </c:strCache>
            </c:strRef>
          </c:cat>
          <c:val>
            <c:numRef>
              <c:f>Sheet6!$B$2:$C$2</c:f>
              <c:numCache>
                <c:formatCode>General</c:formatCode>
                <c:ptCount val="2"/>
                <c:pt idx="0">
                  <c:v>18.0</c:v>
                </c:pt>
                <c:pt idx="1">
                  <c:v>6.0</c:v>
                </c:pt>
              </c:numCache>
            </c:numRef>
          </c:val>
        </c:ser>
        <c:dLbls>
          <c:showLegendKey val="0"/>
          <c:showVal val="0"/>
          <c:showCatName val="0"/>
          <c:showSerName val="0"/>
          <c:showPercent val="0"/>
          <c:showBubbleSize val="0"/>
          <c:showLeaderLines val="0"/>
        </c:dLbls>
        <c:firstSliceAng val="0"/>
        <c:holeSize val="50"/>
      </c:doughnutChart>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layout/>
      <c:overlay val="0"/>
    </c:title>
    <c:autoTitleDeleted val="0"/>
    <c:plotArea>
      <c:layout/>
      <c:doughnutChart>
        <c:varyColors val="1"/>
        <c:ser>
          <c:idx val="0"/>
          <c:order val="0"/>
          <c:tx>
            <c:strRef>
              <c:f>Sheet7!$A$2</c:f>
              <c:strCache>
                <c:ptCount val="1"/>
                <c:pt idx="0">
                  <c:v>Documentaries</c:v>
                </c:pt>
              </c:strCache>
            </c:strRef>
          </c:tx>
          <c:spPr>
            <a:solidFill>
              <a:schemeClr val="accent3"/>
            </a:solidFill>
            <a:effectLst/>
          </c:spPr>
          <c:explosion val="25"/>
          <c:dPt>
            <c:idx val="0"/>
            <c:bubble3D val="0"/>
            <c:spPr>
              <a:solidFill>
                <a:schemeClr val="accent4"/>
              </a:solidFill>
              <a:effectLst/>
            </c:spPr>
          </c:dPt>
          <c:dLbls>
            <c:dLbl>
              <c:idx val="0"/>
              <c:layout/>
              <c:showLegendKey val="0"/>
              <c:showVal val="1"/>
              <c:showCatName val="0"/>
              <c:showSerName val="0"/>
              <c:showPercent val="0"/>
              <c:showBubbleSize val="0"/>
            </c:dLbl>
            <c:dLbl>
              <c:idx val="1"/>
              <c:layout/>
              <c:showLegendKey val="0"/>
              <c:showVal val="1"/>
              <c:showCatName val="0"/>
              <c:showSerName val="0"/>
              <c:showPercent val="0"/>
              <c:showBubbleSize val="0"/>
            </c:dLbl>
            <c:showLegendKey val="0"/>
            <c:showVal val="0"/>
            <c:showCatName val="0"/>
            <c:showSerName val="0"/>
            <c:showPercent val="0"/>
            <c:showBubbleSize val="0"/>
          </c:dLbls>
          <c:cat>
            <c:strRef>
              <c:f>Sheet7!$B$1:$C$1</c:f>
              <c:strCache>
                <c:ptCount val="2"/>
                <c:pt idx="0">
                  <c:v>Male Directors</c:v>
                </c:pt>
                <c:pt idx="1">
                  <c:v>Female Directors</c:v>
                </c:pt>
              </c:strCache>
            </c:strRef>
          </c:cat>
          <c:val>
            <c:numRef>
              <c:f>Sheet7!$B$2:$C$2</c:f>
              <c:numCache>
                <c:formatCode>General</c:formatCode>
                <c:ptCount val="2"/>
                <c:pt idx="0">
                  <c:v>13.0</c:v>
                </c:pt>
                <c:pt idx="1">
                  <c:v>7.0</c:v>
                </c:pt>
              </c:numCache>
            </c:numRef>
          </c:val>
        </c:ser>
        <c:dLbls>
          <c:showLegendKey val="0"/>
          <c:showVal val="0"/>
          <c:showCatName val="0"/>
          <c:showSerName val="0"/>
          <c:showPercent val="0"/>
          <c:showBubbleSize val="0"/>
          <c:showLeaderLines val="0"/>
        </c:dLbls>
        <c:firstSliceAng val="0"/>
        <c:holeSize val="50"/>
      </c:doughnutChart>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tx>
            <c:strRef>
              <c:f>Sheet1!$B$1</c:f>
              <c:strCache>
                <c:ptCount val="1"/>
                <c:pt idx="0">
                  <c:v>Men</c:v>
                </c:pt>
              </c:strCache>
            </c:strRef>
          </c:tx>
          <c:spPr>
            <a:solidFill>
              <a:schemeClr val="accent4"/>
            </a:solidFill>
            <a:effectLst/>
          </c:spPr>
          <c:invertIfNegative val="0"/>
          <c:dLbls>
            <c:showLegendKey val="0"/>
            <c:showVal val="1"/>
            <c:showCatName val="0"/>
            <c:showSerName val="0"/>
            <c:showPercent val="0"/>
            <c:showBubbleSize val="0"/>
            <c:showLeaderLines val="0"/>
          </c:dLbls>
          <c:cat>
            <c:strRef>
              <c:f>Sheet1!$A$2:$A$7</c:f>
              <c:strCache>
                <c:ptCount val="6"/>
                <c:pt idx="0">
                  <c:v>2008-09</c:v>
                </c:pt>
                <c:pt idx="1">
                  <c:v>2011-12</c:v>
                </c:pt>
                <c:pt idx="2">
                  <c:v>2013-14</c:v>
                </c:pt>
                <c:pt idx="3">
                  <c:v>2014-15</c:v>
                </c:pt>
                <c:pt idx="4">
                  <c:v>2015-16</c:v>
                </c:pt>
                <c:pt idx="5">
                  <c:v>2016-17</c:v>
                </c:pt>
              </c:strCache>
            </c:strRef>
          </c:cat>
          <c:val>
            <c:numRef>
              <c:f>Sheet1!$B$2:$B$7</c:f>
              <c:numCache>
                <c:formatCode>General</c:formatCode>
                <c:ptCount val="6"/>
                <c:pt idx="0">
                  <c:v>76.0</c:v>
                </c:pt>
                <c:pt idx="1">
                  <c:v>74.0</c:v>
                </c:pt>
                <c:pt idx="2">
                  <c:v>74.0</c:v>
                </c:pt>
                <c:pt idx="3">
                  <c:v>74.0</c:v>
                </c:pt>
                <c:pt idx="4">
                  <c:v>75.0</c:v>
                </c:pt>
                <c:pt idx="5">
                  <c:v>72.0</c:v>
                </c:pt>
              </c:numCache>
            </c:numRef>
          </c:val>
        </c:ser>
        <c:ser>
          <c:idx val="1"/>
          <c:order val="1"/>
          <c:tx>
            <c:strRef>
              <c:f>Sheet1!$C$1</c:f>
              <c:strCache>
                <c:ptCount val="1"/>
                <c:pt idx="0">
                  <c:v>Women</c:v>
                </c:pt>
              </c:strCache>
            </c:strRef>
          </c:tx>
          <c:spPr>
            <a:solidFill>
              <a:schemeClr val="accent3"/>
            </a:solidFill>
            <a:effectLst/>
          </c:spPr>
          <c:invertIfNegative val="0"/>
          <c:dLbls>
            <c:showLegendKey val="0"/>
            <c:showVal val="1"/>
            <c:showCatName val="0"/>
            <c:showSerName val="0"/>
            <c:showPercent val="0"/>
            <c:showBubbleSize val="0"/>
            <c:showLeaderLines val="0"/>
          </c:dLbls>
          <c:cat>
            <c:strRef>
              <c:f>Sheet1!$A$2:$A$7</c:f>
              <c:strCache>
                <c:ptCount val="6"/>
                <c:pt idx="0">
                  <c:v>2008-09</c:v>
                </c:pt>
                <c:pt idx="1">
                  <c:v>2011-12</c:v>
                </c:pt>
                <c:pt idx="2">
                  <c:v>2013-14</c:v>
                </c:pt>
                <c:pt idx="3">
                  <c:v>2014-15</c:v>
                </c:pt>
                <c:pt idx="4">
                  <c:v>2015-16</c:v>
                </c:pt>
                <c:pt idx="5">
                  <c:v>2016-17</c:v>
                </c:pt>
              </c:strCache>
            </c:strRef>
          </c:cat>
          <c:val>
            <c:numRef>
              <c:f>Sheet1!$C$2:$C$7</c:f>
              <c:numCache>
                <c:formatCode>General</c:formatCode>
                <c:ptCount val="6"/>
                <c:pt idx="0">
                  <c:v>24.0</c:v>
                </c:pt>
                <c:pt idx="1">
                  <c:v>26.0</c:v>
                </c:pt>
                <c:pt idx="2">
                  <c:v>26.0</c:v>
                </c:pt>
                <c:pt idx="3">
                  <c:v>26.0</c:v>
                </c:pt>
                <c:pt idx="4">
                  <c:v>25.0</c:v>
                </c:pt>
                <c:pt idx="5">
                  <c:v>28.0</c:v>
                </c:pt>
              </c:numCache>
            </c:numRef>
          </c:val>
        </c:ser>
        <c:dLbls>
          <c:showLegendKey val="0"/>
          <c:showVal val="0"/>
          <c:showCatName val="0"/>
          <c:showSerName val="0"/>
          <c:showPercent val="0"/>
          <c:showBubbleSize val="0"/>
        </c:dLbls>
        <c:gapWidth val="150"/>
        <c:axId val="2108919384"/>
        <c:axId val="2108461464"/>
      </c:barChart>
      <c:catAx>
        <c:axId val="2108919384"/>
        <c:scaling>
          <c:orientation val="minMax"/>
        </c:scaling>
        <c:delete val="0"/>
        <c:axPos val="l"/>
        <c:majorTickMark val="out"/>
        <c:minorTickMark val="none"/>
        <c:tickLblPos val="nextTo"/>
        <c:crossAx val="2108461464"/>
        <c:crosses val="autoZero"/>
        <c:auto val="1"/>
        <c:lblAlgn val="ctr"/>
        <c:lblOffset val="100"/>
        <c:noMultiLvlLbl val="0"/>
      </c:catAx>
      <c:valAx>
        <c:axId val="2108461464"/>
        <c:scaling>
          <c:orientation val="minMax"/>
        </c:scaling>
        <c:delete val="0"/>
        <c:axPos val="b"/>
        <c:majorGridlines/>
        <c:numFmt formatCode="General" sourceLinked="1"/>
        <c:majorTickMark val="out"/>
        <c:minorTickMark val="none"/>
        <c:tickLblPos val="nextTo"/>
        <c:crossAx val="2108919384"/>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tx>
            <c:strRef>
              <c:f>Sheet2!$B$1</c:f>
              <c:strCache>
                <c:ptCount val="1"/>
                <c:pt idx="0">
                  <c:v>2008-09</c:v>
                </c:pt>
              </c:strCache>
            </c:strRef>
          </c:tx>
          <c:spPr>
            <a:effectLst/>
          </c:spPr>
          <c:invertIfNegative val="0"/>
          <c:dLbls>
            <c:showLegendKey val="0"/>
            <c:showVal val="1"/>
            <c:showCatName val="0"/>
            <c:showSerName val="0"/>
            <c:showPercent val="0"/>
            <c:showBubbleSize val="0"/>
            <c:showLeaderLines val="0"/>
          </c:dLbls>
          <c:cat>
            <c:strRef>
              <c:f>Sheet2!$A$2:$A$7</c:f>
              <c:strCache>
                <c:ptCount val="6"/>
                <c:pt idx="0">
                  <c:v>Cinematog.</c:v>
                </c:pt>
                <c:pt idx="1">
                  <c:v>Editor</c:v>
                </c:pt>
                <c:pt idx="2">
                  <c:v>Producer</c:v>
                </c:pt>
                <c:pt idx="3">
                  <c:v>Exec. Producer</c:v>
                </c:pt>
                <c:pt idx="4">
                  <c:v>Writer</c:v>
                </c:pt>
                <c:pt idx="5">
                  <c:v>Director</c:v>
                </c:pt>
              </c:strCache>
            </c:strRef>
          </c:cat>
          <c:val>
            <c:numRef>
              <c:f>Sheet2!$B$2:$B$7</c:f>
              <c:numCache>
                <c:formatCode>General</c:formatCode>
                <c:ptCount val="6"/>
                <c:pt idx="0">
                  <c:v>9.0</c:v>
                </c:pt>
                <c:pt idx="1">
                  <c:v>23.0</c:v>
                </c:pt>
                <c:pt idx="2">
                  <c:v>33.0</c:v>
                </c:pt>
                <c:pt idx="3">
                  <c:v>22.0</c:v>
                </c:pt>
                <c:pt idx="4">
                  <c:v>19.0</c:v>
                </c:pt>
                <c:pt idx="5">
                  <c:v>22.0</c:v>
                </c:pt>
              </c:numCache>
            </c:numRef>
          </c:val>
        </c:ser>
        <c:ser>
          <c:idx val="1"/>
          <c:order val="1"/>
          <c:tx>
            <c:strRef>
              <c:f>Sheet2!$C$1</c:f>
              <c:strCache>
                <c:ptCount val="1"/>
                <c:pt idx="0">
                  <c:v>2011-12</c:v>
                </c:pt>
              </c:strCache>
            </c:strRef>
          </c:tx>
          <c:spPr>
            <a:solidFill>
              <a:schemeClr val="accent4">
                <a:lumMod val="40000"/>
                <a:lumOff val="60000"/>
              </a:schemeClr>
            </a:solidFill>
            <a:effectLst/>
          </c:spPr>
          <c:invertIfNegative val="0"/>
          <c:dLbls>
            <c:showLegendKey val="0"/>
            <c:showVal val="1"/>
            <c:showCatName val="0"/>
            <c:showSerName val="0"/>
            <c:showPercent val="0"/>
            <c:showBubbleSize val="0"/>
            <c:showLeaderLines val="0"/>
          </c:dLbls>
          <c:cat>
            <c:strRef>
              <c:f>Sheet2!$A$2:$A$7</c:f>
              <c:strCache>
                <c:ptCount val="6"/>
                <c:pt idx="0">
                  <c:v>Cinematog.</c:v>
                </c:pt>
                <c:pt idx="1">
                  <c:v>Editor</c:v>
                </c:pt>
                <c:pt idx="2">
                  <c:v>Producer</c:v>
                </c:pt>
                <c:pt idx="3">
                  <c:v>Exec. Producer</c:v>
                </c:pt>
                <c:pt idx="4">
                  <c:v>Writer</c:v>
                </c:pt>
                <c:pt idx="5">
                  <c:v>Director</c:v>
                </c:pt>
              </c:strCache>
            </c:strRef>
          </c:cat>
          <c:val>
            <c:numRef>
              <c:f>Sheet2!$C$2:$C$7</c:f>
              <c:numCache>
                <c:formatCode>General</c:formatCode>
                <c:ptCount val="6"/>
                <c:pt idx="0">
                  <c:v>13.0</c:v>
                </c:pt>
                <c:pt idx="1">
                  <c:v>25.0</c:v>
                </c:pt>
                <c:pt idx="2">
                  <c:v>31.0</c:v>
                </c:pt>
                <c:pt idx="3">
                  <c:v>25.0</c:v>
                </c:pt>
                <c:pt idx="4">
                  <c:v>24.0</c:v>
                </c:pt>
                <c:pt idx="5">
                  <c:v>29.0</c:v>
                </c:pt>
              </c:numCache>
            </c:numRef>
          </c:val>
        </c:ser>
        <c:ser>
          <c:idx val="2"/>
          <c:order val="2"/>
          <c:tx>
            <c:strRef>
              <c:f>Sheet2!$D$1</c:f>
              <c:strCache>
                <c:ptCount val="1"/>
                <c:pt idx="0">
                  <c:v>2013-14</c:v>
                </c:pt>
              </c:strCache>
            </c:strRef>
          </c:tx>
          <c:spPr>
            <a:effectLst/>
          </c:spPr>
          <c:invertIfNegative val="0"/>
          <c:dLbls>
            <c:showLegendKey val="0"/>
            <c:showVal val="1"/>
            <c:showCatName val="0"/>
            <c:showSerName val="0"/>
            <c:showPercent val="0"/>
            <c:showBubbleSize val="0"/>
            <c:showLeaderLines val="0"/>
          </c:dLbls>
          <c:cat>
            <c:strRef>
              <c:f>Sheet2!$A$2:$A$7</c:f>
              <c:strCache>
                <c:ptCount val="6"/>
                <c:pt idx="0">
                  <c:v>Cinematog.</c:v>
                </c:pt>
                <c:pt idx="1">
                  <c:v>Editor</c:v>
                </c:pt>
                <c:pt idx="2">
                  <c:v>Producer</c:v>
                </c:pt>
                <c:pt idx="3">
                  <c:v>Exec. Producer</c:v>
                </c:pt>
                <c:pt idx="4">
                  <c:v>Writer</c:v>
                </c:pt>
                <c:pt idx="5">
                  <c:v>Director</c:v>
                </c:pt>
              </c:strCache>
            </c:strRef>
          </c:cat>
          <c:val>
            <c:numRef>
              <c:f>Sheet2!$D$2:$D$7</c:f>
              <c:numCache>
                <c:formatCode>General</c:formatCode>
                <c:ptCount val="6"/>
                <c:pt idx="0">
                  <c:v>10.0</c:v>
                </c:pt>
                <c:pt idx="1">
                  <c:v>20.0</c:v>
                </c:pt>
                <c:pt idx="2">
                  <c:v>33.0</c:v>
                </c:pt>
                <c:pt idx="3">
                  <c:v>27.0</c:v>
                </c:pt>
                <c:pt idx="4">
                  <c:v>22.0</c:v>
                </c:pt>
                <c:pt idx="5">
                  <c:v>23.0</c:v>
                </c:pt>
              </c:numCache>
            </c:numRef>
          </c:val>
        </c:ser>
        <c:ser>
          <c:idx val="3"/>
          <c:order val="3"/>
          <c:tx>
            <c:strRef>
              <c:f>Sheet2!$E$1</c:f>
              <c:strCache>
                <c:ptCount val="1"/>
                <c:pt idx="0">
                  <c:v>2014-15</c:v>
                </c:pt>
              </c:strCache>
            </c:strRef>
          </c:tx>
          <c:spPr>
            <a:effectLst/>
          </c:spPr>
          <c:invertIfNegative val="0"/>
          <c:dLbls>
            <c:showLegendKey val="0"/>
            <c:showVal val="1"/>
            <c:showCatName val="0"/>
            <c:showSerName val="0"/>
            <c:showPercent val="0"/>
            <c:showBubbleSize val="0"/>
            <c:showLeaderLines val="0"/>
          </c:dLbls>
          <c:cat>
            <c:strRef>
              <c:f>Sheet2!$A$2:$A$7</c:f>
              <c:strCache>
                <c:ptCount val="6"/>
                <c:pt idx="0">
                  <c:v>Cinematog.</c:v>
                </c:pt>
                <c:pt idx="1">
                  <c:v>Editor</c:v>
                </c:pt>
                <c:pt idx="2">
                  <c:v>Producer</c:v>
                </c:pt>
                <c:pt idx="3">
                  <c:v>Exec. Producer</c:v>
                </c:pt>
                <c:pt idx="4">
                  <c:v>Writer</c:v>
                </c:pt>
                <c:pt idx="5">
                  <c:v>Director</c:v>
                </c:pt>
              </c:strCache>
            </c:strRef>
          </c:cat>
          <c:val>
            <c:numRef>
              <c:f>Sheet2!$E$2:$E$7</c:f>
              <c:numCache>
                <c:formatCode>General</c:formatCode>
                <c:ptCount val="6"/>
                <c:pt idx="0">
                  <c:v>12.0</c:v>
                </c:pt>
                <c:pt idx="1">
                  <c:v>22.0</c:v>
                </c:pt>
                <c:pt idx="2">
                  <c:v>33.0</c:v>
                </c:pt>
                <c:pt idx="3">
                  <c:v>27.0</c:v>
                </c:pt>
                <c:pt idx="4">
                  <c:v>23.0</c:v>
                </c:pt>
                <c:pt idx="5">
                  <c:v>23.0</c:v>
                </c:pt>
              </c:numCache>
            </c:numRef>
          </c:val>
        </c:ser>
        <c:ser>
          <c:idx val="4"/>
          <c:order val="4"/>
          <c:tx>
            <c:strRef>
              <c:f>Sheet2!$F$1</c:f>
              <c:strCache>
                <c:ptCount val="1"/>
                <c:pt idx="0">
                  <c:v>2015-16</c:v>
                </c:pt>
              </c:strCache>
            </c:strRef>
          </c:tx>
          <c:spPr>
            <a:effectLst/>
          </c:spPr>
          <c:invertIfNegative val="0"/>
          <c:dLbls>
            <c:showLegendKey val="0"/>
            <c:showVal val="1"/>
            <c:showCatName val="0"/>
            <c:showSerName val="0"/>
            <c:showPercent val="0"/>
            <c:showBubbleSize val="0"/>
            <c:showLeaderLines val="0"/>
          </c:dLbls>
          <c:cat>
            <c:strRef>
              <c:f>Sheet2!$A$2:$A$7</c:f>
              <c:strCache>
                <c:ptCount val="6"/>
                <c:pt idx="0">
                  <c:v>Cinematog.</c:v>
                </c:pt>
                <c:pt idx="1">
                  <c:v>Editor</c:v>
                </c:pt>
                <c:pt idx="2">
                  <c:v>Producer</c:v>
                </c:pt>
                <c:pt idx="3">
                  <c:v>Exec. Producer</c:v>
                </c:pt>
                <c:pt idx="4">
                  <c:v>Writer</c:v>
                </c:pt>
                <c:pt idx="5">
                  <c:v>Director</c:v>
                </c:pt>
              </c:strCache>
            </c:strRef>
          </c:cat>
          <c:val>
            <c:numRef>
              <c:f>Sheet2!$F$2:$F$7</c:f>
              <c:numCache>
                <c:formatCode>General</c:formatCode>
                <c:ptCount val="6"/>
                <c:pt idx="0">
                  <c:v>11.0</c:v>
                </c:pt>
                <c:pt idx="1">
                  <c:v>21.0</c:v>
                </c:pt>
                <c:pt idx="2">
                  <c:v>31.0</c:v>
                </c:pt>
                <c:pt idx="3">
                  <c:v>21.0</c:v>
                </c:pt>
                <c:pt idx="4">
                  <c:v>23.0</c:v>
                </c:pt>
                <c:pt idx="5">
                  <c:v>28.0</c:v>
                </c:pt>
              </c:numCache>
            </c:numRef>
          </c:val>
        </c:ser>
        <c:ser>
          <c:idx val="5"/>
          <c:order val="5"/>
          <c:tx>
            <c:strRef>
              <c:f>Sheet2!$G$1</c:f>
              <c:strCache>
                <c:ptCount val="1"/>
                <c:pt idx="0">
                  <c:v>2016-17</c:v>
                </c:pt>
              </c:strCache>
            </c:strRef>
          </c:tx>
          <c:spPr>
            <a:solidFill>
              <a:schemeClr val="accent3">
                <a:lumMod val="40000"/>
                <a:lumOff val="60000"/>
              </a:schemeClr>
            </a:solidFill>
            <a:effectLst/>
          </c:spPr>
          <c:invertIfNegative val="0"/>
          <c:dLbls>
            <c:showLegendKey val="0"/>
            <c:showVal val="1"/>
            <c:showCatName val="0"/>
            <c:showSerName val="0"/>
            <c:showPercent val="0"/>
            <c:showBubbleSize val="0"/>
            <c:showLeaderLines val="0"/>
          </c:dLbls>
          <c:cat>
            <c:strRef>
              <c:f>Sheet2!$A$2:$A$7</c:f>
              <c:strCache>
                <c:ptCount val="6"/>
                <c:pt idx="0">
                  <c:v>Cinematog.</c:v>
                </c:pt>
                <c:pt idx="1">
                  <c:v>Editor</c:v>
                </c:pt>
                <c:pt idx="2">
                  <c:v>Producer</c:v>
                </c:pt>
                <c:pt idx="3">
                  <c:v>Exec. Producer</c:v>
                </c:pt>
                <c:pt idx="4">
                  <c:v>Writer</c:v>
                </c:pt>
                <c:pt idx="5">
                  <c:v>Director</c:v>
                </c:pt>
              </c:strCache>
            </c:strRef>
          </c:cat>
          <c:val>
            <c:numRef>
              <c:f>Sheet2!$G$2:$G$7</c:f>
              <c:numCache>
                <c:formatCode>General</c:formatCode>
                <c:ptCount val="6"/>
                <c:pt idx="0">
                  <c:v>11.0</c:v>
                </c:pt>
                <c:pt idx="1">
                  <c:v>22.0</c:v>
                </c:pt>
                <c:pt idx="2">
                  <c:v>32.0</c:v>
                </c:pt>
                <c:pt idx="3">
                  <c:v>29.0</c:v>
                </c:pt>
                <c:pt idx="4">
                  <c:v>26.0</c:v>
                </c:pt>
                <c:pt idx="5">
                  <c:v>29.0</c:v>
                </c:pt>
              </c:numCache>
            </c:numRef>
          </c:val>
        </c:ser>
        <c:dLbls>
          <c:showLegendKey val="0"/>
          <c:showVal val="0"/>
          <c:showCatName val="0"/>
          <c:showSerName val="0"/>
          <c:showPercent val="0"/>
          <c:showBubbleSize val="0"/>
        </c:dLbls>
        <c:gapWidth val="150"/>
        <c:axId val="2110063976"/>
        <c:axId val="2092638328"/>
      </c:barChart>
      <c:catAx>
        <c:axId val="2110063976"/>
        <c:scaling>
          <c:orientation val="minMax"/>
        </c:scaling>
        <c:delete val="0"/>
        <c:axPos val="l"/>
        <c:majorTickMark val="out"/>
        <c:minorTickMark val="none"/>
        <c:tickLblPos val="nextTo"/>
        <c:crossAx val="2092638328"/>
        <c:crosses val="autoZero"/>
        <c:auto val="1"/>
        <c:lblAlgn val="ctr"/>
        <c:lblOffset val="100"/>
        <c:noMultiLvlLbl val="0"/>
      </c:catAx>
      <c:valAx>
        <c:axId val="2092638328"/>
        <c:scaling>
          <c:orientation val="minMax"/>
        </c:scaling>
        <c:delete val="0"/>
        <c:axPos val="b"/>
        <c:majorGridlines/>
        <c:numFmt formatCode="General" sourceLinked="1"/>
        <c:majorTickMark val="out"/>
        <c:minorTickMark val="none"/>
        <c:tickLblPos val="nextTo"/>
        <c:crossAx val="211006397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tx>
            <c:strRef>
              <c:f>Sheet3!$B$1</c:f>
              <c:strCache>
                <c:ptCount val="1"/>
                <c:pt idx="0">
                  <c:v>2008-09</c:v>
                </c:pt>
              </c:strCache>
            </c:strRef>
          </c:tx>
          <c:spPr>
            <a:effectLst/>
          </c:spPr>
          <c:invertIfNegative val="0"/>
          <c:dLbls>
            <c:showLegendKey val="0"/>
            <c:showVal val="1"/>
            <c:showCatName val="0"/>
            <c:showSerName val="0"/>
            <c:showPercent val="0"/>
            <c:showBubbleSize val="0"/>
            <c:showLeaderLines val="0"/>
          </c:dLbls>
          <c:cat>
            <c:strRef>
              <c:f>Sheet3!$A$2:$A$7</c:f>
              <c:strCache>
                <c:ptCount val="6"/>
                <c:pt idx="0">
                  <c:v>Cinematog.</c:v>
                </c:pt>
                <c:pt idx="1">
                  <c:v>Editor</c:v>
                </c:pt>
                <c:pt idx="2">
                  <c:v>Producer</c:v>
                </c:pt>
                <c:pt idx="3">
                  <c:v>Exec. Producer</c:v>
                </c:pt>
                <c:pt idx="4">
                  <c:v>Writer</c:v>
                </c:pt>
                <c:pt idx="5">
                  <c:v>Director</c:v>
                </c:pt>
              </c:strCache>
            </c:strRef>
          </c:cat>
          <c:val>
            <c:numRef>
              <c:f>Sheet3!$B$2:$B$7</c:f>
              <c:numCache>
                <c:formatCode>General</c:formatCode>
                <c:ptCount val="6"/>
                <c:pt idx="0">
                  <c:v>11.0</c:v>
                </c:pt>
                <c:pt idx="1">
                  <c:v>19.0</c:v>
                </c:pt>
                <c:pt idx="2">
                  <c:v>39.0</c:v>
                </c:pt>
                <c:pt idx="3">
                  <c:v>27.0</c:v>
                </c:pt>
                <c:pt idx="4">
                  <c:v>28.0</c:v>
                </c:pt>
                <c:pt idx="5">
                  <c:v>28.0</c:v>
                </c:pt>
              </c:numCache>
            </c:numRef>
          </c:val>
        </c:ser>
        <c:ser>
          <c:idx val="1"/>
          <c:order val="1"/>
          <c:tx>
            <c:strRef>
              <c:f>Sheet3!$C$1</c:f>
              <c:strCache>
                <c:ptCount val="1"/>
                <c:pt idx="0">
                  <c:v>2011-12</c:v>
                </c:pt>
              </c:strCache>
            </c:strRef>
          </c:tx>
          <c:spPr>
            <a:solidFill>
              <a:schemeClr val="accent4">
                <a:lumMod val="60000"/>
                <a:lumOff val="40000"/>
              </a:schemeClr>
            </a:solidFill>
            <a:effectLst/>
          </c:spPr>
          <c:invertIfNegative val="0"/>
          <c:dLbls>
            <c:showLegendKey val="0"/>
            <c:showVal val="1"/>
            <c:showCatName val="0"/>
            <c:showSerName val="0"/>
            <c:showPercent val="0"/>
            <c:showBubbleSize val="0"/>
            <c:showLeaderLines val="0"/>
          </c:dLbls>
          <c:cat>
            <c:strRef>
              <c:f>Sheet3!$A$2:$A$7</c:f>
              <c:strCache>
                <c:ptCount val="6"/>
                <c:pt idx="0">
                  <c:v>Cinematog.</c:v>
                </c:pt>
                <c:pt idx="1">
                  <c:v>Editor</c:v>
                </c:pt>
                <c:pt idx="2">
                  <c:v>Producer</c:v>
                </c:pt>
                <c:pt idx="3">
                  <c:v>Exec. Producer</c:v>
                </c:pt>
                <c:pt idx="4">
                  <c:v>Writer</c:v>
                </c:pt>
                <c:pt idx="5">
                  <c:v>Director</c:v>
                </c:pt>
              </c:strCache>
            </c:strRef>
          </c:cat>
          <c:val>
            <c:numRef>
              <c:f>Sheet3!$C$2:$C$7</c:f>
              <c:numCache>
                <c:formatCode>General</c:formatCode>
                <c:ptCount val="6"/>
                <c:pt idx="0">
                  <c:v>16.0</c:v>
                </c:pt>
                <c:pt idx="1">
                  <c:v>27.0</c:v>
                </c:pt>
                <c:pt idx="2">
                  <c:v>35.0</c:v>
                </c:pt>
                <c:pt idx="3">
                  <c:v>31.0</c:v>
                </c:pt>
                <c:pt idx="4">
                  <c:v>32.0</c:v>
                </c:pt>
                <c:pt idx="5">
                  <c:v>39.0</c:v>
                </c:pt>
              </c:numCache>
            </c:numRef>
          </c:val>
        </c:ser>
        <c:ser>
          <c:idx val="2"/>
          <c:order val="2"/>
          <c:tx>
            <c:strRef>
              <c:f>Sheet3!$D$1</c:f>
              <c:strCache>
                <c:ptCount val="1"/>
                <c:pt idx="0">
                  <c:v>2013-14</c:v>
                </c:pt>
              </c:strCache>
            </c:strRef>
          </c:tx>
          <c:spPr>
            <a:effectLst/>
          </c:spPr>
          <c:invertIfNegative val="0"/>
          <c:dLbls>
            <c:showLegendKey val="0"/>
            <c:showVal val="1"/>
            <c:showCatName val="0"/>
            <c:showSerName val="0"/>
            <c:showPercent val="0"/>
            <c:showBubbleSize val="0"/>
            <c:showLeaderLines val="0"/>
          </c:dLbls>
          <c:cat>
            <c:strRef>
              <c:f>Sheet3!$A$2:$A$7</c:f>
              <c:strCache>
                <c:ptCount val="6"/>
                <c:pt idx="0">
                  <c:v>Cinematog.</c:v>
                </c:pt>
                <c:pt idx="1">
                  <c:v>Editor</c:v>
                </c:pt>
                <c:pt idx="2">
                  <c:v>Producer</c:v>
                </c:pt>
                <c:pt idx="3">
                  <c:v>Exec. Producer</c:v>
                </c:pt>
                <c:pt idx="4">
                  <c:v>Writer</c:v>
                </c:pt>
                <c:pt idx="5">
                  <c:v>Director</c:v>
                </c:pt>
              </c:strCache>
            </c:strRef>
          </c:cat>
          <c:val>
            <c:numRef>
              <c:f>Sheet3!$D$2:$D$7</c:f>
              <c:numCache>
                <c:formatCode>General</c:formatCode>
                <c:ptCount val="6"/>
                <c:pt idx="0">
                  <c:v>12.0</c:v>
                </c:pt>
                <c:pt idx="1">
                  <c:v>20.0</c:v>
                </c:pt>
                <c:pt idx="2">
                  <c:v>39.0</c:v>
                </c:pt>
                <c:pt idx="3">
                  <c:v>31.0</c:v>
                </c:pt>
                <c:pt idx="4">
                  <c:v>23.0</c:v>
                </c:pt>
                <c:pt idx="5">
                  <c:v>28.0</c:v>
                </c:pt>
              </c:numCache>
            </c:numRef>
          </c:val>
        </c:ser>
        <c:ser>
          <c:idx val="3"/>
          <c:order val="3"/>
          <c:tx>
            <c:strRef>
              <c:f>Sheet3!$E$1</c:f>
              <c:strCache>
                <c:ptCount val="1"/>
                <c:pt idx="0">
                  <c:v>2014-15</c:v>
                </c:pt>
              </c:strCache>
            </c:strRef>
          </c:tx>
          <c:spPr>
            <a:effectLst/>
          </c:spPr>
          <c:invertIfNegative val="0"/>
          <c:dLbls>
            <c:showLegendKey val="0"/>
            <c:showVal val="1"/>
            <c:showCatName val="0"/>
            <c:showSerName val="0"/>
            <c:showPercent val="0"/>
            <c:showBubbleSize val="0"/>
            <c:showLeaderLines val="0"/>
          </c:dLbls>
          <c:cat>
            <c:strRef>
              <c:f>Sheet3!$A$2:$A$7</c:f>
              <c:strCache>
                <c:ptCount val="6"/>
                <c:pt idx="0">
                  <c:v>Cinematog.</c:v>
                </c:pt>
                <c:pt idx="1">
                  <c:v>Editor</c:v>
                </c:pt>
                <c:pt idx="2">
                  <c:v>Producer</c:v>
                </c:pt>
                <c:pt idx="3">
                  <c:v>Exec. Producer</c:v>
                </c:pt>
                <c:pt idx="4">
                  <c:v>Writer</c:v>
                </c:pt>
                <c:pt idx="5">
                  <c:v>Director</c:v>
                </c:pt>
              </c:strCache>
            </c:strRef>
          </c:cat>
          <c:val>
            <c:numRef>
              <c:f>Sheet3!$E$2:$E$7</c:f>
              <c:numCache>
                <c:formatCode>General</c:formatCode>
                <c:ptCount val="6"/>
                <c:pt idx="0">
                  <c:v>13.0</c:v>
                </c:pt>
                <c:pt idx="1">
                  <c:v>23.0</c:v>
                </c:pt>
                <c:pt idx="2">
                  <c:v>37.0</c:v>
                </c:pt>
                <c:pt idx="3">
                  <c:v>34.0</c:v>
                </c:pt>
                <c:pt idx="4">
                  <c:v>29.0</c:v>
                </c:pt>
                <c:pt idx="5">
                  <c:v>29.0</c:v>
                </c:pt>
              </c:numCache>
            </c:numRef>
          </c:val>
        </c:ser>
        <c:ser>
          <c:idx val="4"/>
          <c:order val="4"/>
          <c:tx>
            <c:strRef>
              <c:f>Sheet3!$F$1</c:f>
              <c:strCache>
                <c:ptCount val="1"/>
                <c:pt idx="0">
                  <c:v>2015-16</c:v>
                </c:pt>
              </c:strCache>
            </c:strRef>
          </c:tx>
          <c:spPr>
            <a:effectLst/>
          </c:spPr>
          <c:invertIfNegative val="0"/>
          <c:dLbls>
            <c:showLegendKey val="0"/>
            <c:showVal val="1"/>
            <c:showCatName val="0"/>
            <c:showSerName val="0"/>
            <c:showPercent val="0"/>
            <c:showBubbleSize val="0"/>
            <c:showLeaderLines val="0"/>
          </c:dLbls>
          <c:cat>
            <c:strRef>
              <c:f>Sheet3!$A$2:$A$7</c:f>
              <c:strCache>
                <c:ptCount val="6"/>
                <c:pt idx="0">
                  <c:v>Cinematog.</c:v>
                </c:pt>
                <c:pt idx="1">
                  <c:v>Editor</c:v>
                </c:pt>
                <c:pt idx="2">
                  <c:v>Producer</c:v>
                </c:pt>
                <c:pt idx="3">
                  <c:v>Exec. Producer</c:v>
                </c:pt>
                <c:pt idx="4">
                  <c:v>Writer</c:v>
                </c:pt>
                <c:pt idx="5">
                  <c:v>Director</c:v>
                </c:pt>
              </c:strCache>
            </c:strRef>
          </c:cat>
          <c:val>
            <c:numRef>
              <c:f>Sheet3!$F$2:$F$7</c:f>
              <c:numCache>
                <c:formatCode>General</c:formatCode>
                <c:ptCount val="6"/>
                <c:pt idx="0">
                  <c:v>15.0</c:v>
                </c:pt>
                <c:pt idx="1">
                  <c:v>22.0</c:v>
                </c:pt>
                <c:pt idx="2">
                  <c:v>35.0</c:v>
                </c:pt>
                <c:pt idx="3">
                  <c:v>27.0</c:v>
                </c:pt>
                <c:pt idx="4">
                  <c:v>31.0</c:v>
                </c:pt>
                <c:pt idx="5">
                  <c:v>35.0</c:v>
                </c:pt>
              </c:numCache>
            </c:numRef>
          </c:val>
        </c:ser>
        <c:ser>
          <c:idx val="5"/>
          <c:order val="5"/>
          <c:tx>
            <c:strRef>
              <c:f>Sheet3!$G$1</c:f>
              <c:strCache>
                <c:ptCount val="1"/>
                <c:pt idx="0">
                  <c:v>2016-17</c:v>
                </c:pt>
              </c:strCache>
            </c:strRef>
          </c:tx>
          <c:spPr>
            <a:solidFill>
              <a:schemeClr val="accent3">
                <a:lumMod val="40000"/>
                <a:lumOff val="60000"/>
              </a:schemeClr>
            </a:solidFill>
            <a:effectLst/>
          </c:spPr>
          <c:invertIfNegative val="0"/>
          <c:dLbls>
            <c:showLegendKey val="0"/>
            <c:showVal val="1"/>
            <c:showCatName val="0"/>
            <c:showSerName val="0"/>
            <c:showPercent val="0"/>
            <c:showBubbleSize val="0"/>
            <c:showLeaderLines val="0"/>
          </c:dLbls>
          <c:cat>
            <c:strRef>
              <c:f>Sheet3!$A$2:$A$7</c:f>
              <c:strCache>
                <c:ptCount val="6"/>
                <c:pt idx="0">
                  <c:v>Cinematog.</c:v>
                </c:pt>
                <c:pt idx="1">
                  <c:v>Editor</c:v>
                </c:pt>
                <c:pt idx="2">
                  <c:v>Producer</c:v>
                </c:pt>
                <c:pt idx="3">
                  <c:v>Exec. Producer</c:v>
                </c:pt>
                <c:pt idx="4">
                  <c:v>Writer</c:v>
                </c:pt>
                <c:pt idx="5">
                  <c:v>Director</c:v>
                </c:pt>
              </c:strCache>
            </c:strRef>
          </c:cat>
          <c:val>
            <c:numRef>
              <c:f>Sheet3!$G$2:$G$7</c:f>
              <c:numCache>
                <c:formatCode>General</c:formatCode>
                <c:ptCount val="6"/>
                <c:pt idx="0">
                  <c:v>11.0</c:v>
                </c:pt>
                <c:pt idx="1">
                  <c:v>24.0</c:v>
                </c:pt>
                <c:pt idx="2">
                  <c:v>36.0</c:v>
                </c:pt>
                <c:pt idx="3">
                  <c:v>36.0</c:v>
                </c:pt>
                <c:pt idx="4">
                  <c:v>32.0</c:v>
                </c:pt>
                <c:pt idx="5">
                  <c:v>33.0</c:v>
                </c:pt>
              </c:numCache>
            </c:numRef>
          </c:val>
        </c:ser>
        <c:dLbls>
          <c:showLegendKey val="0"/>
          <c:showVal val="0"/>
          <c:showCatName val="0"/>
          <c:showSerName val="0"/>
          <c:showPercent val="0"/>
          <c:showBubbleSize val="0"/>
        </c:dLbls>
        <c:gapWidth val="150"/>
        <c:axId val="-2138582008"/>
        <c:axId val="-2138579032"/>
      </c:barChart>
      <c:catAx>
        <c:axId val="-2138582008"/>
        <c:scaling>
          <c:orientation val="minMax"/>
        </c:scaling>
        <c:delete val="0"/>
        <c:axPos val="l"/>
        <c:majorTickMark val="out"/>
        <c:minorTickMark val="none"/>
        <c:tickLblPos val="nextTo"/>
        <c:crossAx val="-2138579032"/>
        <c:crosses val="autoZero"/>
        <c:auto val="1"/>
        <c:lblAlgn val="ctr"/>
        <c:lblOffset val="100"/>
        <c:noMultiLvlLbl val="0"/>
      </c:catAx>
      <c:valAx>
        <c:axId val="-2138579032"/>
        <c:scaling>
          <c:orientation val="minMax"/>
        </c:scaling>
        <c:delete val="0"/>
        <c:axPos val="b"/>
        <c:majorGridlines/>
        <c:numFmt formatCode="General" sourceLinked="1"/>
        <c:majorTickMark val="out"/>
        <c:minorTickMark val="none"/>
        <c:tickLblPos val="nextTo"/>
        <c:crossAx val="-2138582008"/>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tx>
            <c:strRef>
              <c:f>Sheet4!$B$1</c:f>
              <c:strCache>
                <c:ptCount val="1"/>
                <c:pt idx="0">
                  <c:v>2008-09</c:v>
                </c:pt>
              </c:strCache>
            </c:strRef>
          </c:tx>
          <c:spPr>
            <a:effectLst/>
          </c:spPr>
          <c:invertIfNegative val="0"/>
          <c:dLbls>
            <c:showLegendKey val="0"/>
            <c:showVal val="1"/>
            <c:showCatName val="0"/>
            <c:showSerName val="0"/>
            <c:showPercent val="0"/>
            <c:showBubbleSize val="0"/>
            <c:showLeaderLines val="0"/>
          </c:dLbls>
          <c:cat>
            <c:strRef>
              <c:f>Sheet4!$A$2:$A$7</c:f>
              <c:strCache>
                <c:ptCount val="6"/>
                <c:pt idx="0">
                  <c:v>Cinematog.</c:v>
                </c:pt>
                <c:pt idx="1">
                  <c:v>Editor</c:v>
                </c:pt>
                <c:pt idx="2">
                  <c:v>Producer</c:v>
                </c:pt>
                <c:pt idx="3">
                  <c:v>Exec. Producer</c:v>
                </c:pt>
                <c:pt idx="4">
                  <c:v>Writer</c:v>
                </c:pt>
                <c:pt idx="5">
                  <c:v>Director</c:v>
                </c:pt>
              </c:strCache>
            </c:strRef>
          </c:cat>
          <c:val>
            <c:numRef>
              <c:f>Sheet4!$B$2:$B$7</c:f>
              <c:numCache>
                <c:formatCode>General</c:formatCode>
                <c:ptCount val="6"/>
                <c:pt idx="0">
                  <c:v>6.0</c:v>
                </c:pt>
                <c:pt idx="1">
                  <c:v>19.0</c:v>
                </c:pt>
                <c:pt idx="2">
                  <c:v>28.0</c:v>
                </c:pt>
                <c:pt idx="3">
                  <c:v>19.0</c:v>
                </c:pt>
                <c:pt idx="4">
                  <c:v>15.0</c:v>
                </c:pt>
                <c:pt idx="5">
                  <c:v>15.0</c:v>
                </c:pt>
              </c:numCache>
            </c:numRef>
          </c:val>
        </c:ser>
        <c:ser>
          <c:idx val="1"/>
          <c:order val="1"/>
          <c:tx>
            <c:strRef>
              <c:f>Sheet4!$C$1</c:f>
              <c:strCache>
                <c:ptCount val="1"/>
                <c:pt idx="0">
                  <c:v>2011-12</c:v>
                </c:pt>
              </c:strCache>
            </c:strRef>
          </c:tx>
          <c:spPr>
            <a:solidFill>
              <a:schemeClr val="accent4">
                <a:lumMod val="60000"/>
                <a:lumOff val="40000"/>
              </a:schemeClr>
            </a:solidFill>
            <a:effectLst/>
          </c:spPr>
          <c:invertIfNegative val="0"/>
          <c:dLbls>
            <c:showLegendKey val="0"/>
            <c:showVal val="1"/>
            <c:showCatName val="0"/>
            <c:showSerName val="0"/>
            <c:showPercent val="0"/>
            <c:showBubbleSize val="0"/>
            <c:showLeaderLines val="0"/>
          </c:dLbls>
          <c:cat>
            <c:strRef>
              <c:f>Sheet4!$A$2:$A$7</c:f>
              <c:strCache>
                <c:ptCount val="6"/>
                <c:pt idx="0">
                  <c:v>Cinematog.</c:v>
                </c:pt>
                <c:pt idx="1">
                  <c:v>Editor</c:v>
                </c:pt>
                <c:pt idx="2">
                  <c:v>Producer</c:v>
                </c:pt>
                <c:pt idx="3">
                  <c:v>Exec. Producer</c:v>
                </c:pt>
                <c:pt idx="4">
                  <c:v>Writer</c:v>
                </c:pt>
                <c:pt idx="5">
                  <c:v>Director</c:v>
                </c:pt>
              </c:strCache>
            </c:strRef>
          </c:cat>
          <c:val>
            <c:numRef>
              <c:f>Sheet4!$C$2:$C$7</c:f>
              <c:numCache>
                <c:formatCode>General</c:formatCode>
                <c:ptCount val="6"/>
                <c:pt idx="0">
                  <c:v>9.0</c:v>
                </c:pt>
                <c:pt idx="1">
                  <c:v>23.0</c:v>
                </c:pt>
                <c:pt idx="2">
                  <c:v>29.0</c:v>
                </c:pt>
                <c:pt idx="3">
                  <c:v>22.0</c:v>
                </c:pt>
                <c:pt idx="4">
                  <c:v>21.0</c:v>
                </c:pt>
                <c:pt idx="5">
                  <c:v>18.0</c:v>
                </c:pt>
              </c:numCache>
            </c:numRef>
          </c:val>
        </c:ser>
        <c:ser>
          <c:idx val="2"/>
          <c:order val="2"/>
          <c:tx>
            <c:strRef>
              <c:f>Sheet4!$D$1</c:f>
              <c:strCache>
                <c:ptCount val="1"/>
                <c:pt idx="0">
                  <c:v>2013-14</c:v>
                </c:pt>
              </c:strCache>
            </c:strRef>
          </c:tx>
          <c:spPr>
            <a:effectLst/>
          </c:spPr>
          <c:invertIfNegative val="0"/>
          <c:dLbls>
            <c:showLegendKey val="0"/>
            <c:showVal val="1"/>
            <c:showCatName val="0"/>
            <c:showSerName val="0"/>
            <c:showPercent val="0"/>
            <c:showBubbleSize val="0"/>
            <c:showLeaderLines val="0"/>
          </c:dLbls>
          <c:cat>
            <c:strRef>
              <c:f>Sheet4!$A$2:$A$7</c:f>
              <c:strCache>
                <c:ptCount val="6"/>
                <c:pt idx="0">
                  <c:v>Cinematog.</c:v>
                </c:pt>
                <c:pt idx="1">
                  <c:v>Editor</c:v>
                </c:pt>
                <c:pt idx="2">
                  <c:v>Producer</c:v>
                </c:pt>
                <c:pt idx="3">
                  <c:v>Exec. Producer</c:v>
                </c:pt>
                <c:pt idx="4">
                  <c:v>Writer</c:v>
                </c:pt>
                <c:pt idx="5">
                  <c:v>Director</c:v>
                </c:pt>
              </c:strCache>
            </c:strRef>
          </c:cat>
          <c:val>
            <c:numRef>
              <c:f>Sheet4!$D$2:$D$7</c:f>
              <c:numCache>
                <c:formatCode>General</c:formatCode>
                <c:ptCount val="6"/>
                <c:pt idx="0">
                  <c:v>7.0</c:v>
                </c:pt>
                <c:pt idx="1">
                  <c:v>19.0</c:v>
                </c:pt>
                <c:pt idx="2">
                  <c:v>30.0</c:v>
                </c:pt>
                <c:pt idx="3">
                  <c:v>26.0</c:v>
                </c:pt>
                <c:pt idx="4">
                  <c:v>21.0</c:v>
                </c:pt>
                <c:pt idx="5">
                  <c:v>18.0</c:v>
                </c:pt>
              </c:numCache>
            </c:numRef>
          </c:val>
        </c:ser>
        <c:ser>
          <c:idx val="3"/>
          <c:order val="3"/>
          <c:tx>
            <c:strRef>
              <c:f>Sheet4!$E$1</c:f>
              <c:strCache>
                <c:ptCount val="1"/>
                <c:pt idx="0">
                  <c:v>2014-15</c:v>
                </c:pt>
              </c:strCache>
            </c:strRef>
          </c:tx>
          <c:spPr>
            <a:effectLst/>
          </c:spPr>
          <c:invertIfNegative val="0"/>
          <c:dLbls>
            <c:showLegendKey val="0"/>
            <c:showVal val="1"/>
            <c:showCatName val="0"/>
            <c:showSerName val="0"/>
            <c:showPercent val="0"/>
            <c:showBubbleSize val="0"/>
            <c:showLeaderLines val="0"/>
          </c:dLbls>
          <c:cat>
            <c:strRef>
              <c:f>Sheet4!$A$2:$A$7</c:f>
              <c:strCache>
                <c:ptCount val="6"/>
                <c:pt idx="0">
                  <c:v>Cinematog.</c:v>
                </c:pt>
                <c:pt idx="1">
                  <c:v>Editor</c:v>
                </c:pt>
                <c:pt idx="2">
                  <c:v>Producer</c:v>
                </c:pt>
                <c:pt idx="3">
                  <c:v>Exec. Producer</c:v>
                </c:pt>
                <c:pt idx="4">
                  <c:v>Writer</c:v>
                </c:pt>
                <c:pt idx="5">
                  <c:v>Director</c:v>
                </c:pt>
              </c:strCache>
            </c:strRef>
          </c:cat>
          <c:val>
            <c:numRef>
              <c:f>Sheet4!$E$2:$E$7</c:f>
              <c:numCache>
                <c:formatCode>General</c:formatCode>
                <c:ptCount val="6"/>
                <c:pt idx="0">
                  <c:v>7.0</c:v>
                </c:pt>
                <c:pt idx="1">
                  <c:v>21.0</c:v>
                </c:pt>
                <c:pt idx="2">
                  <c:v>30.0</c:v>
                </c:pt>
                <c:pt idx="3">
                  <c:v>23.0</c:v>
                </c:pt>
                <c:pt idx="4">
                  <c:v>21.0</c:v>
                </c:pt>
                <c:pt idx="5">
                  <c:v>18.0</c:v>
                </c:pt>
              </c:numCache>
            </c:numRef>
          </c:val>
        </c:ser>
        <c:ser>
          <c:idx val="4"/>
          <c:order val="4"/>
          <c:tx>
            <c:strRef>
              <c:f>Sheet4!$F$1</c:f>
              <c:strCache>
                <c:ptCount val="1"/>
                <c:pt idx="0">
                  <c:v>2015-16</c:v>
                </c:pt>
              </c:strCache>
            </c:strRef>
          </c:tx>
          <c:spPr>
            <a:effectLst/>
          </c:spPr>
          <c:invertIfNegative val="0"/>
          <c:dLbls>
            <c:showLegendKey val="0"/>
            <c:showVal val="1"/>
            <c:showCatName val="0"/>
            <c:showSerName val="0"/>
            <c:showPercent val="0"/>
            <c:showBubbleSize val="0"/>
            <c:showLeaderLines val="0"/>
          </c:dLbls>
          <c:cat>
            <c:strRef>
              <c:f>Sheet4!$A$2:$A$7</c:f>
              <c:strCache>
                <c:ptCount val="6"/>
                <c:pt idx="0">
                  <c:v>Cinematog.</c:v>
                </c:pt>
                <c:pt idx="1">
                  <c:v>Editor</c:v>
                </c:pt>
                <c:pt idx="2">
                  <c:v>Producer</c:v>
                </c:pt>
                <c:pt idx="3">
                  <c:v>Exec. Producer</c:v>
                </c:pt>
                <c:pt idx="4">
                  <c:v>Writer</c:v>
                </c:pt>
                <c:pt idx="5">
                  <c:v>Director</c:v>
                </c:pt>
              </c:strCache>
            </c:strRef>
          </c:cat>
          <c:val>
            <c:numRef>
              <c:f>Sheet4!$F$2:$F$7</c:f>
              <c:numCache>
                <c:formatCode>General</c:formatCode>
                <c:ptCount val="6"/>
                <c:pt idx="0">
                  <c:v>9.0</c:v>
                </c:pt>
                <c:pt idx="1">
                  <c:v>21.0</c:v>
                </c:pt>
                <c:pt idx="2">
                  <c:v>30.0</c:v>
                </c:pt>
                <c:pt idx="3">
                  <c:v>20.0</c:v>
                </c:pt>
                <c:pt idx="4">
                  <c:v>19.0</c:v>
                </c:pt>
                <c:pt idx="5">
                  <c:v>19.0</c:v>
                </c:pt>
              </c:numCache>
            </c:numRef>
          </c:val>
        </c:ser>
        <c:ser>
          <c:idx val="5"/>
          <c:order val="5"/>
          <c:tx>
            <c:strRef>
              <c:f>Sheet4!$G$1</c:f>
              <c:strCache>
                <c:ptCount val="1"/>
                <c:pt idx="0">
                  <c:v>2016-17</c:v>
                </c:pt>
              </c:strCache>
            </c:strRef>
          </c:tx>
          <c:spPr>
            <a:solidFill>
              <a:schemeClr val="accent3">
                <a:lumMod val="40000"/>
                <a:lumOff val="60000"/>
              </a:schemeClr>
            </a:solidFill>
            <a:effectLst/>
          </c:spPr>
          <c:invertIfNegative val="0"/>
          <c:dLbls>
            <c:showLegendKey val="0"/>
            <c:showVal val="1"/>
            <c:showCatName val="0"/>
            <c:showSerName val="0"/>
            <c:showPercent val="0"/>
            <c:showBubbleSize val="0"/>
            <c:showLeaderLines val="0"/>
          </c:dLbls>
          <c:cat>
            <c:strRef>
              <c:f>Sheet4!$A$2:$A$7</c:f>
              <c:strCache>
                <c:ptCount val="6"/>
                <c:pt idx="0">
                  <c:v>Cinematog.</c:v>
                </c:pt>
                <c:pt idx="1">
                  <c:v>Editor</c:v>
                </c:pt>
                <c:pt idx="2">
                  <c:v>Producer</c:v>
                </c:pt>
                <c:pt idx="3">
                  <c:v>Exec. Producer</c:v>
                </c:pt>
                <c:pt idx="4">
                  <c:v>Writer</c:v>
                </c:pt>
                <c:pt idx="5">
                  <c:v>Director</c:v>
                </c:pt>
              </c:strCache>
            </c:strRef>
          </c:cat>
          <c:val>
            <c:numRef>
              <c:f>Sheet4!$G$2:$G$7</c:f>
              <c:numCache>
                <c:formatCode>General</c:formatCode>
                <c:ptCount val="6"/>
                <c:pt idx="0">
                  <c:v>10.0</c:v>
                </c:pt>
                <c:pt idx="1">
                  <c:v>22.0</c:v>
                </c:pt>
                <c:pt idx="2">
                  <c:v>30.0</c:v>
                </c:pt>
                <c:pt idx="3">
                  <c:v>26.0</c:v>
                </c:pt>
                <c:pt idx="4">
                  <c:v>23.0</c:v>
                </c:pt>
                <c:pt idx="5">
                  <c:v>25.0</c:v>
                </c:pt>
              </c:numCache>
            </c:numRef>
          </c:val>
        </c:ser>
        <c:dLbls>
          <c:showLegendKey val="0"/>
          <c:showVal val="0"/>
          <c:showCatName val="0"/>
          <c:showSerName val="0"/>
          <c:showPercent val="0"/>
          <c:showBubbleSize val="0"/>
        </c:dLbls>
        <c:gapWidth val="150"/>
        <c:axId val="-2143225960"/>
        <c:axId val="-2142575240"/>
      </c:barChart>
      <c:catAx>
        <c:axId val="-2143225960"/>
        <c:scaling>
          <c:orientation val="minMax"/>
        </c:scaling>
        <c:delete val="0"/>
        <c:axPos val="l"/>
        <c:majorTickMark val="out"/>
        <c:minorTickMark val="none"/>
        <c:tickLblPos val="nextTo"/>
        <c:crossAx val="-2142575240"/>
        <c:crosses val="autoZero"/>
        <c:auto val="1"/>
        <c:lblAlgn val="ctr"/>
        <c:lblOffset val="100"/>
        <c:noMultiLvlLbl val="0"/>
      </c:catAx>
      <c:valAx>
        <c:axId val="-2142575240"/>
        <c:scaling>
          <c:orientation val="minMax"/>
        </c:scaling>
        <c:delete val="0"/>
        <c:axPos val="b"/>
        <c:majorGridlines/>
        <c:numFmt formatCode="General" sourceLinked="1"/>
        <c:majorTickMark val="out"/>
        <c:minorTickMark val="none"/>
        <c:tickLblPos val="nextTo"/>
        <c:crossAx val="-2143225960"/>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clustered"/>
        <c:varyColors val="0"/>
        <c:ser>
          <c:idx val="0"/>
          <c:order val="0"/>
          <c:tx>
            <c:strRef>
              <c:f>Sheet5!$B$1</c:f>
              <c:strCache>
                <c:ptCount val="1"/>
                <c:pt idx="0">
                  <c:v>Male Director</c:v>
                </c:pt>
              </c:strCache>
            </c:strRef>
          </c:tx>
          <c:spPr>
            <a:solidFill>
              <a:schemeClr val="accent4"/>
            </a:solidFill>
            <a:effectLst/>
          </c:spPr>
          <c:invertIfNegative val="0"/>
          <c:dLbls>
            <c:showLegendKey val="0"/>
            <c:showVal val="1"/>
            <c:showCatName val="0"/>
            <c:showSerName val="0"/>
            <c:showPercent val="0"/>
            <c:showBubbleSize val="0"/>
            <c:showLeaderLines val="0"/>
          </c:dLbls>
          <c:cat>
            <c:strRef>
              <c:f>Sheet5!$A$2:$A$4</c:f>
              <c:strCache>
                <c:ptCount val="3"/>
                <c:pt idx="0">
                  <c:v>Cinematog.</c:v>
                </c:pt>
                <c:pt idx="1">
                  <c:v>Editor</c:v>
                </c:pt>
                <c:pt idx="2">
                  <c:v>Writer</c:v>
                </c:pt>
              </c:strCache>
            </c:strRef>
          </c:cat>
          <c:val>
            <c:numRef>
              <c:f>Sheet5!$B$2:$B$4</c:f>
              <c:numCache>
                <c:formatCode>General</c:formatCode>
                <c:ptCount val="3"/>
                <c:pt idx="0">
                  <c:v>6.0</c:v>
                </c:pt>
                <c:pt idx="1">
                  <c:v>17.0</c:v>
                </c:pt>
                <c:pt idx="2">
                  <c:v>7.0</c:v>
                </c:pt>
              </c:numCache>
            </c:numRef>
          </c:val>
        </c:ser>
        <c:ser>
          <c:idx val="1"/>
          <c:order val="1"/>
          <c:tx>
            <c:strRef>
              <c:f>Sheet5!$C$1</c:f>
              <c:strCache>
                <c:ptCount val="1"/>
                <c:pt idx="0">
                  <c:v>Female Director</c:v>
                </c:pt>
              </c:strCache>
            </c:strRef>
          </c:tx>
          <c:spPr>
            <a:solidFill>
              <a:schemeClr val="accent3"/>
            </a:solidFill>
            <a:effectLst/>
          </c:spPr>
          <c:invertIfNegative val="0"/>
          <c:dLbls>
            <c:showLegendKey val="0"/>
            <c:showVal val="1"/>
            <c:showCatName val="0"/>
            <c:showSerName val="0"/>
            <c:showPercent val="0"/>
            <c:showBubbleSize val="0"/>
            <c:showLeaderLines val="0"/>
          </c:dLbls>
          <c:cat>
            <c:strRef>
              <c:f>Sheet5!$A$2:$A$4</c:f>
              <c:strCache>
                <c:ptCount val="3"/>
                <c:pt idx="0">
                  <c:v>Cinematog.</c:v>
                </c:pt>
                <c:pt idx="1">
                  <c:v>Editor</c:v>
                </c:pt>
                <c:pt idx="2">
                  <c:v>Writer</c:v>
                </c:pt>
              </c:strCache>
            </c:strRef>
          </c:cat>
          <c:val>
            <c:numRef>
              <c:f>Sheet5!$C$2:$C$4</c:f>
              <c:numCache>
                <c:formatCode>General</c:formatCode>
                <c:ptCount val="3"/>
                <c:pt idx="0">
                  <c:v>23.0</c:v>
                </c:pt>
                <c:pt idx="1">
                  <c:v>36.0</c:v>
                </c:pt>
                <c:pt idx="2">
                  <c:v>74.0</c:v>
                </c:pt>
              </c:numCache>
            </c:numRef>
          </c:val>
        </c:ser>
        <c:dLbls>
          <c:showLegendKey val="0"/>
          <c:showVal val="0"/>
          <c:showCatName val="0"/>
          <c:showSerName val="0"/>
          <c:showPercent val="0"/>
          <c:showBubbleSize val="0"/>
        </c:dLbls>
        <c:gapWidth val="150"/>
        <c:axId val="2108785240"/>
        <c:axId val="-2138158600"/>
      </c:barChart>
      <c:catAx>
        <c:axId val="2108785240"/>
        <c:scaling>
          <c:orientation val="minMax"/>
        </c:scaling>
        <c:delete val="0"/>
        <c:axPos val="l"/>
        <c:majorTickMark val="out"/>
        <c:minorTickMark val="none"/>
        <c:tickLblPos val="nextTo"/>
        <c:crossAx val="-2138158600"/>
        <c:crosses val="autoZero"/>
        <c:auto val="1"/>
        <c:lblAlgn val="ctr"/>
        <c:lblOffset val="100"/>
        <c:noMultiLvlLbl val="0"/>
      </c:catAx>
      <c:valAx>
        <c:axId val="-2138158600"/>
        <c:scaling>
          <c:orientation val="minMax"/>
        </c:scaling>
        <c:delete val="0"/>
        <c:axPos val="b"/>
        <c:majorGridlines/>
        <c:numFmt formatCode="General" sourceLinked="1"/>
        <c:majorTickMark val="out"/>
        <c:minorTickMark val="none"/>
        <c:tickLblPos val="nextTo"/>
        <c:crossAx val="2108785240"/>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9</Pages>
  <Words>1888</Words>
  <Characters>10766</Characters>
  <Application>Microsoft Macintosh Word</Application>
  <DocSecurity>0</DocSecurity>
  <Lines>89</Lines>
  <Paragraphs>25</Paragraphs>
  <ScaleCrop>false</ScaleCrop>
  <Company>SDSU</Company>
  <LinksUpToDate>false</LinksUpToDate>
  <CharactersWithSpaces>12629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dc:creator>
  <cp:keywords/>
  <dc:description/>
  <cp:lastModifiedBy>Martha</cp:lastModifiedBy>
  <cp:revision>11</cp:revision>
  <cp:lastPrinted>2017-05-09T19:40:00Z</cp:lastPrinted>
  <dcterms:created xsi:type="dcterms:W3CDTF">2017-04-16T18:18:00Z</dcterms:created>
  <dcterms:modified xsi:type="dcterms:W3CDTF">2017-05-16T17:17:00Z</dcterms:modified>
</cp:coreProperties>
</file>